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月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下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半月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国抽“双随机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一公开”检查情况及结果公示表</w:t>
      </w:r>
    </w:p>
    <w:p>
      <w:pPr>
        <w:widowControl/>
        <w:tabs>
          <w:tab w:val="left" w:pos="9860"/>
        </w:tabs>
        <w:spacing w:line="408" w:lineRule="atLeast"/>
        <w:ind w:firstLine="280" w:firstLineChars="100"/>
        <w:jc w:val="both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黑体" w:hAnsi="黑体" w:eastAsia="黑体"/>
          <w:sz w:val="28"/>
          <w:szCs w:val="28"/>
        </w:rPr>
        <w:t>填表日期：202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31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4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355"/>
        <w:gridCol w:w="913"/>
        <w:gridCol w:w="1843"/>
        <w:gridCol w:w="2835"/>
        <w:gridCol w:w="2126"/>
        <w:gridCol w:w="1418"/>
        <w:gridCol w:w="1417"/>
        <w:gridCol w:w="12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抽查计划名称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抽查任务  名称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  类型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检查机关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抽查监管对象名称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统一社会信用代码/注册号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检查完成  日期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     (文书号)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深圳市大鹏新区葵涌街道铭匠美容美发护肤造型店（个体工商户）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92440300MADQ89P289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20250529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1200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公共场所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深圳市天下溪海景酒店管理有限公司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91440300MAD6JQ2Y1P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20250530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2025120065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卫生监督检查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学校卫生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现场检查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深圳市大鹏新区教育和卫生健康局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人大附中深圳学校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12440300MB2C156103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20250530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未发现违法违规行为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2025120084</w:t>
            </w:r>
          </w:p>
        </w:tc>
      </w:tr>
    </w:tbl>
    <w:p>
      <w:pPr>
        <w:wordWrap w:val="0"/>
        <w:ind w:right="640"/>
        <w:jc w:val="left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Cs w:val="21"/>
        </w:rPr>
        <w:t>注意：该表仅供参考，各部门按照上级业务指导部门要求进行公示，但应当包含“双随机”检查的抽查情况和查处结果。</w:t>
      </w:r>
    </w:p>
    <w:p>
      <w:pPr>
        <w:spacing w:line="36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6DBD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张雪英</cp:lastModifiedBy>
  <dcterms:modified xsi:type="dcterms:W3CDTF">2025-06-06T10:03:27Z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C3366952E7F83AEC6F4C42686E048BE1</vt:lpwstr>
  </property>
</Properties>
</file>