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eastAsia="zh-CN"/>
        </w:rPr>
        <w:t>附件</w:t>
      </w:r>
      <w:r>
        <w:rPr>
          <w:rFonts w:hint="eastAsia" w:ascii="楷体_GB2312" w:hAnsi="楷体_GB2312" w:eastAsia="楷体_GB2312" w:cs="楷体_GB2312"/>
          <w:b w:val="0"/>
          <w:bCs/>
          <w:sz w:val="32"/>
          <w:szCs w:val="32"/>
          <w:lang w:val="en-US" w:eastAsia="zh-CN"/>
        </w:rPr>
        <w:t>2</w:t>
      </w:r>
    </w:p>
    <w:p>
      <w:pPr>
        <w:spacing w:line="560" w:lineRule="exact"/>
        <w:jc w:val="center"/>
        <w:rPr>
          <w:rFonts w:hint="eastAsia"/>
          <w:b/>
          <w:sz w:val="44"/>
        </w:rPr>
      </w:pPr>
      <w:r>
        <w:rPr>
          <w:rFonts w:hint="eastAsia"/>
          <w:b/>
          <w:sz w:val="44"/>
        </w:rPr>
        <w:t>法律链接</w:t>
      </w:r>
    </w:p>
    <w:p>
      <w:pPr>
        <w:spacing w:line="560" w:lineRule="exact"/>
        <w:jc w:val="center"/>
        <w:rPr>
          <w:rFonts w:hint="eastAsia"/>
          <w:b/>
          <w:sz w:val="30"/>
          <w:szCs w:val="30"/>
        </w:rPr>
      </w:pPr>
    </w:p>
    <w:p>
      <w:pPr>
        <w:spacing w:line="560" w:lineRule="exact"/>
        <w:jc w:val="center"/>
        <w:rPr>
          <w:rFonts w:hint="eastAsia"/>
          <w:b/>
          <w:sz w:val="30"/>
          <w:szCs w:val="30"/>
        </w:rPr>
      </w:pPr>
      <w:bookmarkStart w:id="0" w:name="_GoBack"/>
      <w:bookmarkEnd w:id="0"/>
    </w:p>
    <w:p>
      <w:pPr>
        <w:spacing w:line="560" w:lineRule="exact"/>
        <w:jc w:val="center"/>
        <w:rPr>
          <w:rFonts w:hint="eastAsia"/>
          <w:b/>
          <w:sz w:val="30"/>
          <w:szCs w:val="30"/>
          <w:lang w:eastAsia="zh-CN"/>
        </w:rPr>
      </w:pPr>
      <w:r>
        <w:rPr>
          <w:rFonts w:hint="eastAsia"/>
          <w:b/>
          <w:sz w:val="30"/>
          <w:szCs w:val="30"/>
          <w:lang w:eastAsia="zh-CN"/>
        </w:rPr>
        <w:t>《中华人民共和国民事诉讼法》</w:t>
      </w:r>
    </w:p>
    <w:p>
      <w:pPr>
        <w:spacing w:line="560" w:lineRule="exact"/>
        <w:jc w:val="center"/>
        <w:rPr>
          <w:rFonts w:hint="eastAsia" w:ascii="宋体" w:eastAsia="宋体" w:hAnsiTheme="minorHAnsi" w:cstheme="minorBidi"/>
          <w:kern w:val="2"/>
          <w:sz w:val="28"/>
          <w:szCs w:val="28"/>
          <w:lang w:val="en-US" w:eastAsia="zh-CN" w:bidi="ar-SA"/>
        </w:rPr>
      </w:pPr>
      <w:r>
        <w:rPr>
          <w:rFonts w:hint="eastAsia" w:ascii="宋体" w:eastAsia="宋体" w:cstheme="minorBidi"/>
          <w:b/>
          <w:bCs/>
          <w:kern w:val="2"/>
          <w:sz w:val="28"/>
          <w:szCs w:val="28"/>
          <w:lang w:val="en-US" w:eastAsia="zh-CN" w:bidi="ar-SA"/>
        </w:rPr>
        <w:t xml:space="preserve">    </w:t>
      </w:r>
      <w:r>
        <w:rPr>
          <w:rFonts w:hint="eastAsia" w:ascii="宋体" w:eastAsia="宋体" w:hAnsiTheme="minorHAnsi" w:cstheme="minorBidi"/>
          <w:b/>
          <w:bCs/>
          <w:kern w:val="2"/>
          <w:sz w:val="28"/>
          <w:szCs w:val="28"/>
          <w:lang w:val="en-US" w:eastAsia="zh-CN" w:bidi="ar-SA"/>
        </w:rPr>
        <w:t>第九十五条</w:t>
      </w:r>
      <w:r>
        <w:rPr>
          <w:rFonts w:hint="eastAsia" w:ascii="宋体" w:eastAsia="宋体" w:cstheme="minorBidi"/>
          <w:b/>
          <w:bCs/>
          <w:kern w:val="2"/>
          <w:sz w:val="28"/>
          <w:szCs w:val="28"/>
          <w:lang w:val="en-US" w:eastAsia="zh-CN" w:bidi="ar-SA"/>
        </w:rPr>
        <w:t xml:space="preserve"> </w:t>
      </w:r>
      <w:r>
        <w:rPr>
          <w:rFonts w:hint="eastAsia" w:ascii="宋体" w:eastAsia="宋体" w:hAnsiTheme="minorHAnsi" w:cstheme="minorBidi"/>
          <w:kern w:val="2"/>
          <w:sz w:val="28"/>
          <w:szCs w:val="28"/>
          <w:lang w:val="en-US" w:eastAsia="zh-CN" w:bidi="ar-SA"/>
        </w:rPr>
        <w:t>受送达人下落不明，或者用本节规定的其他方式无法送达的，公告送达。自发出公告之日起，经过三十日，即视为送达。</w:t>
      </w:r>
    </w:p>
    <w:p>
      <w:pPr>
        <w:spacing w:line="560" w:lineRule="exact"/>
        <w:ind w:firstLine="560" w:firstLineChars="200"/>
        <w:jc w:val="both"/>
        <w:rPr>
          <w:rFonts w:hint="eastAsia" w:ascii="宋体" w:eastAsia="宋体" w:hAnsiTheme="minorHAnsi" w:cstheme="minorBidi"/>
          <w:kern w:val="2"/>
          <w:sz w:val="28"/>
          <w:szCs w:val="28"/>
          <w:lang w:val="en-US" w:eastAsia="zh-CN" w:bidi="ar-SA"/>
        </w:rPr>
      </w:pPr>
      <w:r>
        <w:rPr>
          <w:rFonts w:hint="eastAsia" w:ascii="宋体" w:eastAsia="宋体" w:hAnsiTheme="minorHAnsi" w:cstheme="minorBidi"/>
          <w:kern w:val="2"/>
          <w:sz w:val="28"/>
          <w:szCs w:val="28"/>
          <w:lang w:val="en-US" w:eastAsia="zh-CN" w:bidi="ar-SA"/>
        </w:rPr>
        <w:t>公告送达，应当在案卷中记明原因和经过。</w:t>
      </w:r>
    </w:p>
    <w:p>
      <w:pPr>
        <w:spacing w:line="560" w:lineRule="exact"/>
        <w:ind w:firstLine="560" w:firstLineChars="200"/>
        <w:jc w:val="both"/>
        <w:rPr>
          <w:rFonts w:hint="eastAsia" w:ascii="宋体" w:eastAsia="宋体" w:hAnsiTheme="minorHAnsi" w:cstheme="minorBidi"/>
          <w:kern w:val="2"/>
          <w:sz w:val="28"/>
          <w:szCs w:val="28"/>
          <w:lang w:val="en-US" w:eastAsia="zh-CN" w:bidi="ar-SA"/>
        </w:rPr>
      </w:pPr>
    </w:p>
    <w:p>
      <w:pPr>
        <w:spacing w:line="560" w:lineRule="exact"/>
        <w:ind w:firstLine="560" w:firstLineChars="200"/>
        <w:jc w:val="both"/>
        <w:rPr>
          <w:rFonts w:hint="eastAsia" w:ascii="宋体" w:eastAsia="宋体" w:hAnsiTheme="minorHAnsi" w:cstheme="minorBidi"/>
          <w:kern w:val="2"/>
          <w:sz w:val="28"/>
          <w:szCs w:val="28"/>
          <w:lang w:val="en-US" w:eastAsia="zh-CN" w:bidi="ar-SA"/>
        </w:rPr>
      </w:pPr>
    </w:p>
    <w:p>
      <w:pPr>
        <w:spacing w:line="560" w:lineRule="exact"/>
        <w:jc w:val="center"/>
        <w:rPr>
          <w:rFonts w:hint="eastAsia"/>
          <w:b/>
          <w:sz w:val="30"/>
          <w:szCs w:val="30"/>
          <w:lang w:eastAsia="zh-CN"/>
        </w:rPr>
      </w:pPr>
      <w:r>
        <w:rPr>
          <w:rFonts w:hint="eastAsia"/>
          <w:b/>
          <w:sz w:val="30"/>
          <w:szCs w:val="30"/>
          <w:lang w:eastAsia="zh-CN"/>
        </w:rPr>
        <w:t>《广东省劳动保障监察条例》</w:t>
      </w:r>
    </w:p>
    <w:p>
      <w:pPr>
        <w:spacing w:line="560" w:lineRule="exact"/>
        <w:jc w:val="left"/>
        <w:rPr>
          <w:rFonts w:hint="eastAsia" w:ascii="宋体" w:eastAsia="宋体" w:cstheme="minorBidi"/>
          <w:b w:val="0"/>
          <w:bCs w:val="0"/>
          <w:kern w:val="2"/>
          <w:sz w:val="28"/>
          <w:szCs w:val="28"/>
          <w:lang w:val="en-US" w:eastAsia="zh-CN" w:bidi="ar-SA"/>
        </w:rPr>
      </w:pPr>
      <w:r>
        <w:rPr>
          <w:rFonts w:hint="eastAsia" w:ascii="宋体" w:eastAsia="宋体" w:cstheme="minorBidi"/>
          <w:b/>
          <w:bCs/>
          <w:kern w:val="2"/>
          <w:sz w:val="28"/>
          <w:szCs w:val="28"/>
          <w:lang w:val="en-US" w:eastAsia="zh-CN" w:bidi="ar-SA"/>
        </w:rPr>
        <w:t xml:space="preserve">    </w:t>
      </w:r>
      <w:r>
        <w:rPr>
          <w:rFonts w:hint="eastAsia" w:ascii="宋体" w:eastAsia="宋体" w:cstheme="minorBidi"/>
          <w:b/>
          <w:bCs/>
          <w:kern w:val="2"/>
          <w:sz w:val="28"/>
          <w:szCs w:val="28"/>
          <w:lang w:val="en-US" w:eastAsia="zh-CN" w:bidi="ar-SA"/>
        </w:rPr>
        <w:t>第四十一条</w:t>
      </w:r>
      <w:r>
        <w:rPr>
          <w:rFonts w:hint="eastAsia" w:ascii="宋体" w:eastAsia="宋体" w:cstheme="minorBidi"/>
          <w:b w:val="0"/>
          <w:bCs w:val="0"/>
          <w:kern w:val="2"/>
          <w:sz w:val="28"/>
          <w:szCs w:val="28"/>
          <w:lang w:val="en-US" w:eastAsia="zh-CN" w:bidi="ar-SA"/>
        </w:rPr>
        <w:t xml:space="preserve">  用人单位发生欠薪，人力资源社会保障行政部门应当依法及时调查处理。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eastAsia="宋体" w:cstheme="minorBidi"/>
          <w:b w:val="0"/>
          <w:bCs w:val="0"/>
          <w:kern w:val="2"/>
          <w:sz w:val="28"/>
          <w:szCs w:val="28"/>
          <w:lang w:val="en-US" w:eastAsia="zh-CN" w:bidi="ar-SA"/>
        </w:rPr>
      </w:pPr>
      <w:r>
        <w:rPr>
          <w:rFonts w:hint="eastAsia" w:ascii="宋体" w:eastAsia="宋体" w:cstheme="minorBidi"/>
          <w:b w:val="0"/>
          <w:bCs w:val="0"/>
          <w:kern w:val="2"/>
          <w:sz w:val="28"/>
          <w:szCs w:val="28"/>
          <w:lang w:val="en-US" w:eastAsia="zh-CN" w:bidi="ar-SA"/>
        </w:rPr>
        <w:t>用人单位发生欠薪，人力资源社会保障行政部门可以采用电话、书面或者张贴公告，以及其他可以确认收悉的方式，通知其法定代表人或者主要负责人接受调查或者配合处理；用人单位法定代表人或者主要负责人无正当理由不接受调查或者配合处理的，人力资源社会保障行政部门可以通过当地新闻媒体或者人力资源社会保障行政部门门户网站，公开用人单位名称、涉嫌欠薪情况、法定代表人或者主要负责人个人基本信息，公告通知其接受调查或者配合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eastAsia="宋体" w:cstheme="minorBidi"/>
          <w:b w:val="0"/>
          <w:bCs w:val="0"/>
          <w:kern w:val="2"/>
          <w:sz w:val="28"/>
          <w:szCs w:val="28"/>
          <w:lang w:val="en-US" w:eastAsia="zh-CN" w:bidi="ar-SA"/>
        </w:rPr>
      </w:pPr>
      <w:r>
        <w:rPr>
          <w:rFonts w:hint="eastAsia" w:ascii="宋体" w:eastAsia="宋体" w:cstheme="minorBidi"/>
          <w:b w:val="0"/>
          <w:bCs w:val="0"/>
          <w:kern w:val="2"/>
          <w:sz w:val="28"/>
          <w:szCs w:val="28"/>
          <w:lang w:val="en-US" w:eastAsia="zh-CN" w:bidi="ar-SA"/>
        </w:rPr>
        <w:t>人力资源社会保障行政部门按照前款规定公告通知后，用人单位法定代表人或者主要负责人仍不接受调查或者配合处理的，按照《广东省工资支付条例》以逃匿方式拖欠工资的有关规定处理。</w:t>
      </w:r>
    </w:p>
    <w:p>
      <w:pPr>
        <w:spacing w:line="560" w:lineRule="exact"/>
        <w:jc w:val="left"/>
        <w:rPr>
          <w:rFonts w:hint="eastAsia" w:ascii="宋体" w:eastAsia="宋体" w:cstheme="minorBidi"/>
          <w:b/>
          <w:bCs/>
          <w:kern w:val="2"/>
          <w:sz w:val="28"/>
          <w:szCs w:val="28"/>
          <w:lang w:val="en-US" w:eastAsia="zh-CN" w:bidi="ar-SA"/>
        </w:rPr>
      </w:pPr>
      <w:r>
        <w:rPr>
          <w:rFonts w:hint="eastAsia" w:ascii="宋体" w:eastAsia="宋体" w:cstheme="minorBidi"/>
          <w:b/>
          <w:bCs/>
          <w:kern w:val="2"/>
          <w:sz w:val="28"/>
          <w:szCs w:val="28"/>
          <w:lang w:val="en-US" w:eastAsia="zh-CN" w:bidi="ar-SA"/>
        </w:rPr>
        <w:t xml:space="preserve">    第四十七条 </w:t>
      </w:r>
      <w:r>
        <w:rPr>
          <w:rFonts w:hint="eastAsia" w:ascii="宋体" w:eastAsia="宋体" w:cstheme="minorBidi"/>
          <w:b w:val="0"/>
          <w:bCs w:val="0"/>
          <w:kern w:val="2"/>
          <w:sz w:val="28"/>
          <w:szCs w:val="28"/>
          <w:lang w:val="en-US" w:eastAsia="zh-CN" w:bidi="ar-SA"/>
        </w:rPr>
        <w:t>人力资源社会保障行政部门制作出限期整改指令书、行政处理决定书、行政处罚决定书等法律文书后，应当在宣告后当场送达当事人；无法当场送达的，应当在七个工作日内参照民事诉讼的有关规定送达。</w:t>
      </w:r>
    </w:p>
    <w:p>
      <w:pPr>
        <w:spacing w:line="560" w:lineRule="exact"/>
        <w:jc w:val="left"/>
        <w:rPr>
          <w:rFonts w:hint="eastAsia" w:ascii="宋体" w:eastAsia="宋体" w:cstheme="minorBidi"/>
          <w:b w:val="0"/>
          <w:bCs w:val="0"/>
          <w:kern w:val="2"/>
          <w:sz w:val="28"/>
          <w:szCs w:val="28"/>
          <w:lang w:val="en-US" w:eastAsia="zh-CN" w:bidi="ar-SA"/>
        </w:rPr>
      </w:pPr>
      <w:r>
        <w:rPr>
          <w:rFonts w:hint="eastAsia" w:ascii="宋体" w:eastAsia="宋体" w:cstheme="minorBidi"/>
          <w:b/>
          <w:bCs/>
          <w:kern w:val="2"/>
          <w:sz w:val="28"/>
          <w:szCs w:val="28"/>
          <w:lang w:val="en-US" w:eastAsia="zh-CN" w:bidi="ar-SA"/>
        </w:rPr>
        <w:t xml:space="preserve">    </w:t>
      </w:r>
      <w:r>
        <w:rPr>
          <w:rFonts w:hint="eastAsia" w:ascii="宋体" w:eastAsia="宋体" w:cstheme="minorBidi"/>
          <w:b w:val="0"/>
          <w:bCs w:val="0"/>
          <w:kern w:val="2"/>
          <w:sz w:val="28"/>
          <w:szCs w:val="28"/>
          <w:lang w:val="en-US" w:eastAsia="zh-CN" w:bidi="ar-SA"/>
        </w:rPr>
        <w:t>按照规定采取公告方式送达的，应当在受送达人办公场所或者住所张贴，并同时在当地新闻媒体或者人力资源社会保障行政部门门户网站公告，公告期为六十日；但按照本条例第四十一条规定处理的，或者用人单位的欠薪等劳动保障违法行为引发群体性事件的，公告期为三日。</w:t>
      </w:r>
    </w:p>
    <w:p>
      <w:pPr>
        <w:spacing w:line="560" w:lineRule="exact"/>
        <w:jc w:val="left"/>
        <w:rPr>
          <w:rFonts w:hint="eastAsia" w:ascii="宋体" w:eastAsia="宋体" w:cstheme="minorBidi"/>
          <w:b/>
          <w:bCs/>
          <w:kern w:val="2"/>
          <w:sz w:val="28"/>
          <w:szCs w:val="28"/>
          <w:lang w:val="en-US" w:eastAsia="zh-CN" w:bidi="ar-SA"/>
        </w:rPr>
      </w:pPr>
      <w:r>
        <w:rPr>
          <w:rFonts w:hint="eastAsia" w:ascii="宋体" w:eastAsia="宋体" w:cstheme="minorBidi"/>
          <w:b/>
          <w:bCs/>
          <w:kern w:val="2"/>
          <w:sz w:val="28"/>
          <w:szCs w:val="28"/>
          <w:lang w:val="en-US" w:eastAsia="zh-CN" w:bidi="ar-SA"/>
        </w:rPr>
        <w:t xml:space="preserve">    </w:t>
      </w:r>
      <w:r>
        <w:rPr>
          <w:rFonts w:hint="eastAsia" w:ascii="宋体" w:eastAsia="宋体" w:cstheme="minorBidi"/>
          <w:b w:val="0"/>
          <w:bCs w:val="0"/>
          <w:kern w:val="2"/>
          <w:sz w:val="28"/>
          <w:szCs w:val="28"/>
          <w:lang w:val="en-US" w:eastAsia="zh-CN" w:bidi="ar-SA"/>
        </w:rPr>
        <w:t>投诉人指定法律文书送达地址的，人力资源社会保障行政部门可以通过邮政机构向该地址邮寄送达法律文书。</w:t>
      </w:r>
    </w:p>
    <w:p>
      <w:pPr>
        <w:spacing w:line="560" w:lineRule="exact"/>
        <w:jc w:val="center"/>
        <w:rPr>
          <w:rFonts w:hint="eastAsia" w:ascii="宋体" w:eastAsia="宋体" w:hAnsiTheme="minorHAnsi" w:cstheme="minorBidi"/>
          <w:kern w:val="2"/>
          <w:sz w:val="28"/>
          <w:szCs w:val="28"/>
          <w:lang w:val="en-US" w:eastAsia="zh-CN" w:bidi="ar-SA"/>
        </w:rPr>
      </w:pPr>
    </w:p>
    <w:p>
      <w:pPr>
        <w:spacing w:line="560" w:lineRule="exact"/>
        <w:jc w:val="center"/>
        <w:rPr>
          <w:rFonts w:hint="eastAsia" w:ascii="宋体" w:eastAsia="宋体" w:hAnsiTheme="minorHAnsi" w:cstheme="minorBidi"/>
          <w:kern w:val="2"/>
          <w:sz w:val="28"/>
          <w:szCs w:val="28"/>
          <w:lang w:val="en-US" w:eastAsia="zh-CN" w:bidi="ar-SA"/>
        </w:rPr>
      </w:pPr>
    </w:p>
    <w:p>
      <w:pPr>
        <w:spacing w:line="560" w:lineRule="exact"/>
        <w:jc w:val="center"/>
        <w:rPr>
          <w:rFonts w:hint="eastAsia" w:eastAsia="宋体"/>
          <w:b/>
          <w:sz w:val="30"/>
          <w:szCs w:val="30"/>
        </w:rPr>
      </w:pPr>
      <w:r>
        <w:rPr>
          <w:rFonts w:hint="eastAsia" w:eastAsia="宋体"/>
          <w:b/>
          <w:sz w:val="30"/>
          <w:szCs w:val="30"/>
          <w:lang w:eastAsia="zh-CN"/>
        </w:rPr>
        <w:t>《深圳市员工工资支付条例》</w:t>
      </w:r>
    </w:p>
    <w:p>
      <w:pPr>
        <w:pStyle w:val="5"/>
        <w:keepNext w:val="0"/>
        <w:keepLines w:val="0"/>
        <w:pageBreakBefore w:val="0"/>
        <w:widowControl w:val="0"/>
        <w:numPr>
          <w:ilvl w:val="0"/>
          <w:numId w:val="1"/>
        </w:numPr>
        <w:tabs>
          <w:tab w:val="left" w:pos="1418"/>
        </w:tabs>
        <w:kinsoku/>
        <w:wordWrap/>
        <w:overflowPunct/>
        <w:topLinePunct w:val="0"/>
        <w:autoSpaceDE/>
        <w:autoSpaceDN/>
        <w:bidi w:val="0"/>
        <w:adjustRightInd/>
        <w:snapToGrid/>
        <w:spacing w:line="460" w:lineRule="exact"/>
        <w:textAlignment w:val="auto"/>
        <w:rPr>
          <w:rFonts w:hint="default" w:ascii="宋体" w:eastAsia="宋体"/>
          <w:sz w:val="28"/>
          <w:szCs w:val="28"/>
          <w:lang w:val="en-US" w:eastAsia="zh-CN"/>
        </w:rPr>
      </w:pPr>
      <w:r>
        <w:rPr>
          <w:rFonts w:hint="default" w:ascii="宋体" w:eastAsia="宋体"/>
          <w:sz w:val="28"/>
          <w:szCs w:val="28"/>
          <w:lang w:val="en-US" w:eastAsia="zh-CN"/>
        </w:rPr>
        <w:t>用人单位应当按时、足额支付员工工资。</w:t>
      </w:r>
    </w:p>
    <w:p>
      <w:pPr>
        <w:pStyle w:val="5"/>
        <w:keepNext w:val="0"/>
        <w:keepLines w:val="0"/>
        <w:pageBreakBefore w:val="0"/>
        <w:widowControl w:val="0"/>
        <w:numPr>
          <w:ilvl w:val="0"/>
          <w:numId w:val="0"/>
        </w:numPr>
        <w:tabs>
          <w:tab w:val="left" w:pos="1418"/>
        </w:tabs>
        <w:kinsoku/>
        <w:wordWrap/>
        <w:overflowPunct/>
        <w:topLinePunct w:val="0"/>
        <w:autoSpaceDE/>
        <w:autoSpaceDN/>
        <w:bidi w:val="0"/>
        <w:adjustRightInd/>
        <w:snapToGrid/>
        <w:spacing w:line="460" w:lineRule="exact"/>
        <w:ind w:firstLine="562" w:firstLineChars="200"/>
        <w:textAlignment w:val="auto"/>
        <w:rPr>
          <w:rFonts w:hint="default" w:ascii="宋体" w:eastAsia="宋体"/>
          <w:sz w:val="28"/>
          <w:szCs w:val="28"/>
          <w:lang w:eastAsia="zh-CN"/>
        </w:rPr>
      </w:pPr>
      <w:r>
        <w:rPr>
          <w:rFonts w:hint="default" w:ascii="宋体" w:eastAsia="宋体"/>
          <w:b/>
          <w:bCs/>
          <w:sz w:val="28"/>
          <w:szCs w:val="28"/>
          <w:lang w:eastAsia="zh-CN"/>
        </w:rPr>
        <w:t>第五十五条</w:t>
      </w:r>
      <w:r>
        <w:rPr>
          <w:rFonts w:hint="default" w:ascii="宋体" w:eastAsia="宋体"/>
          <w:sz w:val="28"/>
          <w:szCs w:val="28"/>
          <w:lang w:eastAsia="zh-CN"/>
        </w:rPr>
        <w:t xml:space="preserve"> 用人单位有下列情形之一的，由人力资源主管部门责令限期改正；逾期未改正的，可以视情节轻重处三万元以上五万元以下的罚款：</w:t>
      </w:r>
    </w:p>
    <w:p>
      <w:pPr>
        <w:pStyle w:val="5"/>
        <w:keepNext w:val="0"/>
        <w:keepLines w:val="0"/>
        <w:pageBreakBefore w:val="0"/>
        <w:widowControl w:val="0"/>
        <w:numPr>
          <w:ilvl w:val="0"/>
          <w:numId w:val="0"/>
        </w:numPr>
        <w:tabs>
          <w:tab w:val="left" w:pos="1418"/>
        </w:tabs>
        <w:kinsoku/>
        <w:wordWrap/>
        <w:overflowPunct/>
        <w:topLinePunct w:val="0"/>
        <w:autoSpaceDE/>
        <w:autoSpaceDN/>
        <w:bidi w:val="0"/>
        <w:adjustRightInd/>
        <w:snapToGrid/>
        <w:spacing w:line="460" w:lineRule="exact"/>
        <w:ind w:firstLine="560" w:firstLineChars="200"/>
        <w:textAlignment w:val="auto"/>
        <w:rPr>
          <w:rFonts w:hint="default" w:ascii="宋体" w:eastAsia="宋体"/>
          <w:sz w:val="28"/>
          <w:szCs w:val="28"/>
          <w:lang w:eastAsia="zh-CN"/>
        </w:rPr>
      </w:pPr>
      <w:r>
        <w:rPr>
          <w:rFonts w:hint="default" w:ascii="宋体" w:eastAsia="宋体"/>
          <w:sz w:val="28"/>
          <w:szCs w:val="28"/>
          <w:lang w:eastAsia="zh-CN"/>
        </w:rPr>
        <w:t>（一）支付员工工资低于最低工资标准的；</w:t>
      </w:r>
    </w:p>
    <w:p>
      <w:pPr>
        <w:pStyle w:val="5"/>
        <w:keepNext w:val="0"/>
        <w:keepLines w:val="0"/>
        <w:pageBreakBefore w:val="0"/>
        <w:widowControl w:val="0"/>
        <w:numPr>
          <w:ilvl w:val="0"/>
          <w:numId w:val="0"/>
        </w:numPr>
        <w:tabs>
          <w:tab w:val="left" w:pos="1418"/>
        </w:tabs>
        <w:kinsoku/>
        <w:wordWrap/>
        <w:overflowPunct/>
        <w:topLinePunct w:val="0"/>
        <w:autoSpaceDE/>
        <w:autoSpaceDN/>
        <w:bidi w:val="0"/>
        <w:adjustRightInd/>
        <w:snapToGrid/>
        <w:spacing w:line="460" w:lineRule="exact"/>
        <w:ind w:firstLine="560" w:firstLineChars="200"/>
        <w:textAlignment w:val="auto"/>
        <w:rPr>
          <w:rFonts w:hint="default" w:ascii="宋体" w:eastAsia="宋体"/>
          <w:sz w:val="28"/>
          <w:szCs w:val="28"/>
          <w:lang w:eastAsia="zh-CN"/>
        </w:rPr>
      </w:pPr>
      <w:r>
        <w:rPr>
          <w:rFonts w:hint="default" w:ascii="宋体" w:eastAsia="宋体"/>
          <w:sz w:val="28"/>
          <w:szCs w:val="28"/>
          <w:lang w:eastAsia="zh-CN"/>
        </w:rPr>
        <w:t>（二）克扣或者无故拖欠员工工资的；</w:t>
      </w:r>
    </w:p>
    <w:p>
      <w:pPr>
        <w:pStyle w:val="5"/>
        <w:keepNext w:val="0"/>
        <w:keepLines w:val="0"/>
        <w:pageBreakBefore w:val="0"/>
        <w:widowControl w:val="0"/>
        <w:numPr>
          <w:ilvl w:val="0"/>
          <w:numId w:val="0"/>
        </w:numPr>
        <w:tabs>
          <w:tab w:val="left" w:pos="1418"/>
        </w:tabs>
        <w:kinsoku/>
        <w:wordWrap/>
        <w:overflowPunct/>
        <w:topLinePunct w:val="0"/>
        <w:autoSpaceDE/>
        <w:autoSpaceDN/>
        <w:bidi w:val="0"/>
        <w:adjustRightInd/>
        <w:snapToGrid/>
        <w:spacing w:line="460" w:lineRule="exact"/>
        <w:ind w:firstLine="560" w:firstLineChars="200"/>
        <w:textAlignment w:val="auto"/>
        <w:rPr>
          <w:rFonts w:hint="default" w:ascii="宋体" w:eastAsia="宋体"/>
          <w:sz w:val="28"/>
          <w:szCs w:val="28"/>
          <w:lang w:eastAsia="zh-CN"/>
        </w:rPr>
      </w:pPr>
      <w:r>
        <w:rPr>
          <w:rFonts w:hint="default" w:ascii="宋体" w:eastAsia="宋体"/>
          <w:sz w:val="28"/>
          <w:szCs w:val="28"/>
          <w:lang w:eastAsia="zh-CN"/>
        </w:rPr>
        <w:t>（三）以实物等非货币形式支付员工工资的。</w:t>
      </w:r>
    </w:p>
    <w:p>
      <w:pPr>
        <w:pStyle w:val="5"/>
        <w:keepNext w:val="0"/>
        <w:keepLines w:val="0"/>
        <w:pageBreakBefore w:val="0"/>
        <w:widowControl w:val="0"/>
        <w:numPr>
          <w:ilvl w:val="0"/>
          <w:numId w:val="0"/>
        </w:numPr>
        <w:tabs>
          <w:tab w:val="left" w:pos="1418"/>
        </w:tabs>
        <w:kinsoku/>
        <w:wordWrap/>
        <w:overflowPunct/>
        <w:topLinePunct w:val="0"/>
        <w:autoSpaceDE/>
        <w:autoSpaceDN/>
        <w:bidi w:val="0"/>
        <w:adjustRightInd/>
        <w:snapToGrid/>
        <w:spacing w:line="460" w:lineRule="exact"/>
        <w:ind w:firstLine="560" w:firstLineChars="200"/>
        <w:textAlignment w:val="auto"/>
        <w:rPr>
          <w:rFonts w:hint="default" w:ascii="宋体" w:eastAsia="宋体"/>
          <w:sz w:val="28"/>
          <w:szCs w:val="28"/>
          <w:lang w:eastAsia="zh-CN"/>
        </w:rPr>
      </w:pPr>
      <w:r>
        <w:rPr>
          <w:rFonts w:hint="default" w:ascii="宋体" w:eastAsia="宋体"/>
          <w:sz w:val="28"/>
          <w:szCs w:val="28"/>
          <w:lang w:eastAsia="zh-CN"/>
        </w:rPr>
        <w:t>有前款第一项、第二项规定情形的，人力资源主管部门还应当依法责令用人单位向员工加付赔偿金。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MathJax_Vector">
    <w:panose1 w:val="02000603000000000000"/>
    <w:charset w:val="00"/>
    <w:family w:val="auto"/>
    <w:pitch w:val="default"/>
    <w:sig w:usb0="00000001" w:usb1="0000002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F52BD"/>
    <w:multiLevelType w:val="singleLevel"/>
    <w:tmpl w:val="FBEF52BD"/>
    <w:lvl w:ilvl="0" w:tentative="0">
      <w:start w:val="5"/>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1D7C4"/>
    <w:rsid w:val="1F41D7C4"/>
    <w:rsid w:val="396ADFFC"/>
    <w:rsid w:val="3F27A9AB"/>
    <w:rsid w:val="49FD4DE0"/>
    <w:rsid w:val="5F7F97B1"/>
    <w:rsid w:val="6DED0E3C"/>
    <w:rsid w:val="6EFF287C"/>
    <w:rsid w:val="7757517D"/>
    <w:rsid w:val="77F883E6"/>
    <w:rsid w:val="7BDFA815"/>
    <w:rsid w:val="7DBD232F"/>
    <w:rsid w:val="7F66094A"/>
    <w:rsid w:val="7F7F1209"/>
    <w:rsid w:val="AFBFEDC3"/>
    <w:rsid w:val="BD5C056C"/>
    <w:rsid w:val="CF6F3224"/>
    <w:rsid w:val="DF7F2CF0"/>
    <w:rsid w:val="ED7F34FE"/>
    <w:rsid w:val="EF795649"/>
    <w:rsid w:val="F3FDBFD9"/>
    <w:rsid w:val="F717A77F"/>
    <w:rsid w:val="F76FA945"/>
    <w:rsid w:val="F7973F41"/>
    <w:rsid w:val="F97D4B56"/>
    <w:rsid w:val="FA3FD711"/>
    <w:rsid w:val="FB65B962"/>
    <w:rsid w:val="FF37F7C3"/>
    <w:rsid w:val="FF775E33"/>
    <w:rsid w:val="FFFD2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2025-04-02T18:20:00Z</dcterms:created>
  <dc:creator>lxl</dc:creator>
  <cp:lastModifiedBy>严怀秀</cp:lastModifiedBy>
  <dcterms:modified xsi:type="dcterms:W3CDTF">2025-04-03T09:29:48Z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C9D16BA22E39EC878CE4ED67650DC210</vt:lpwstr>
  </property>
</Properties>
</file>