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5月</w:t>
      </w:r>
      <w:r>
        <w:rPr>
          <w:rFonts w:hint="eastAsia" w:ascii="仿宋_GB2312" w:hAnsi="仿宋_GB2312" w:cs="仿宋_GB2312"/>
          <w:b/>
          <w:sz w:val="28"/>
          <w:szCs w:val="28"/>
        </w:rPr>
        <w:t>份数据】</w:t>
      </w:r>
    </w:p>
    <w:tbl>
      <w:tblPr>
        <w:tblStyle w:val="4"/>
        <w:tblW w:w="1439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5月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5月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5月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152.82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166.56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700.78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595.88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17.60%</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146.14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160.99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-9.22%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668.49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580.72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15.11%</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6.68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5.57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19.93%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32.29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15.16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112.90%</w:t>
            </w:r>
          </w:p>
        </w:tc>
      </w:tr>
      <w:tr>
        <w:tblPrEx>
          <w:tblCellMar>
            <w:top w:w="0" w:type="dxa"/>
            <w:left w:w="108" w:type="dxa"/>
            <w:bottom w:w="0" w:type="dxa"/>
            <w:right w:w="108" w:type="dxa"/>
          </w:tblCellMar>
        </w:tblPrEx>
        <w:trPr>
          <w:trHeight w:val="90"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70.30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70.87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-8.80%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302.11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258.08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17.06%</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36.68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38.42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-4.53%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192.35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150.16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28.10%</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45.85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57.26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-19.93%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206.33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187.63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9.97%</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22.38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19.65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13.89%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104.57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82.36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26.97%</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130.44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146.91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-11.21%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596.21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513.52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16.10%</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-30.44%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37.51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28.70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30.70%</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2.83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-19.79%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12.67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9.25</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36.97%</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1.49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2.25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-33.78%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11.05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8.12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36.08%</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2.41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3.81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-36.75%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13.79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11.41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20.86%</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141.55</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139.06</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1.79%</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624.18</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491.40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27.02%</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40.07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42.71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-6.18%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188.77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159.31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18.49%</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17.37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34.44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-49.56%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68.07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105.17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-35.28%</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5月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5月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5月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25.32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18.74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35.11%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104.70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65.14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60.73%</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7.51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7.69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-2.34%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24.11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24.17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-0.25%</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24.38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21.35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14.19%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109.11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80.02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36.35%</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12.75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13.74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-7.21%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69.55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49.69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39.97%</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6.91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-7.09%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22.20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25.56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-13.15%</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5.34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5.74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lang w:val="en-US" w:eastAsia="zh-CN"/>
              </w:rPr>
              <w:t>-6.97%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25.09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22.40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12.01%</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3.20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64.69%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25.32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11.64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117.53%</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83912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148760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323385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412299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-21.57%</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34872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71699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-51.36%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136331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234042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-41.75%</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44479</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65659</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-32.25</w:t>
            </w:r>
            <w:r>
              <w:rPr>
                <w:rFonts w:hint="eastAsia" w:ascii="仿宋_GB2312" w:hAnsi="仿宋_GB2312" w:cs="仿宋_GB2312"/>
                <w:b w:val="0"/>
                <w:bCs w:val="0"/>
                <w:color w:val="000000"/>
                <w:kern w:val="0"/>
                <w:sz w:val="22"/>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178540</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156302</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14.22</w:t>
            </w:r>
            <w:r>
              <w:rPr>
                <w:rFonts w:hint="eastAsia" w:ascii="仿宋_GB2312" w:hAnsi="仿宋_GB2312" w:cs="仿宋_GB2312"/>
                <w:b w:val="0"/>
                <w:bCs w:val="0"/>
                <w:color w:val="000000"/>
                <w:kern w:val="0"/>
                <w:sz w:val="22"/>
              </w:rPr>
              <w:t>%</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4561</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11402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8514</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21955</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val="0"/>
                <w:bCs w:val="0"/>
                <w:color w:val="000000"/>
                <w:kern w:val="0"/>
                <w:sz w:val="22"/>
                <w:lang w:val="en-US" w:eastAsia="zh-CN"/>
              </w:rPr>
            </w:pPr>
            <w:r>
              <w:rPr>
                <w:rFonts w:hint="eastAsia" w:ascii="仿宋_GB2312" w:hAnsi="仿宋_GB2312" w:cs="仿宋_GB2312"/>
                <w:b w:val="0"/>
                <w:bCs w:val="0"/>
                <w:color w:val="000000"/>
                <w:kern w:val="0"/>
                <w:sz w:val="22"/>
                <w:lang w:val="en-US" w:eastAsia="zh-CN"/>
              </w:rPr>
              <w:t>-62%</w:t>
            </w:r>
          </w:p>
        </w:tc>
      </w:tr>
      <w:tr>
        <w:tblPrEx>
          <w:tblCellMar>
            <w:top w:w="0" w:type="dxa"/>
            <w:left w:w="108" w:type="dxa"/>
            <w:bottom w:w="0" w:type="dxa"/>
            <w:right w:w="108" w:type="dxa"/>
          </w:tblCellMar>
        </w:tblPrEx>
        <w:trPr>
          <w:trHeight w:val="2240" w:hRule="atLeast"/>
        </w:trPr>
        <w:tc>
          <w:tcPr>
            <w:tcW w:w="14399"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20"/>
                <w:szCs w:val="20"/>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w:t>
            </w:r>
            <w:bookmarkStart w:id="0" w:name="_GoBack"/>
            <w:bookmarkEnd w:id="0"/>
            <w:r>
              <w:rPr>
                <w:rFonts w:hint="eastAsia" w:ascii="仿宋_GB2312" w:hAnsi="仿宋_GB2312" w:cs="仿宋_GB2312"/>
                <w:color w:val="000000"/>
                <w:kern w:val="0"/>
                <w:sz w:val="20"/>
                <w:szCs w:val="20"/>
              </w:rPr>
              <w:t>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99DD723"/>
    <w:rsid w:val="09D82A9B"/>
    <w:rsid w:val="09FB21A5"/>
    <w:rsid w:val="0A120A3C"/>
    <w:rsid w:val="0A3E373D"/>
    <w:rsid w:val="0AC38579"/>
    <w:rsid w:val="0B925AA8"/>
    <w:rsid w:val="0BAD28E2"/>
    <w:rsid w:val="0D8C6F9E"/>
    <w:rsid w:val="122B3E64"/>
    <w:rsid w:val="174560C4"/>
    <w:rsid w:val="190A4C2C"/>
    <w:rsid w:val="191E6BCD"/>
    <w:rsid w:val="19B412DF"/>
    <w:rsid w:val="1C774065"/>
    <w:rsid w:val="1F4A2397"/>
    <w:rsid w:val="20136F37"/>
    <w:rsid w:val="20525C5F"/>
    <w:rsid w:val="206A3548"/>
    <w:rsid w:val="217750CC"/>
    <w:rsid w:val="222334A6"/>
    <w:rsid w:val="22F62969"/>
    <w:rsid w:val="23190270"/>
    <w:rsid w:val="23955CDE"/>
    <w:rsid w:val="25643044"/>
    <w:rsid w:val="268D6456"/>
    <w:rsid w:val="26B96187"/>
    <w:rsid w:val="270C5638"/>
    <w:rsid w:val="27DD5AEA"/>
    <w:rsid w:val="29F86FC6"/>
    <w:rsid w:val="2B665680"/>
    <w:rsid w:val="2C4F5EBF"/>
    <w:rsid w:val="2CB049BA"/>
    <w:rsid w:val="2D8F7C42"/>
    <w:rsid w:val="2F2F5872"/>
    <w:rsid w:val="2F5EB840"/>
    <w:rsid w:val="31523460"/>
    <w:rsid w:val="360F7B72"/>
    <w:rsid w:val="3781684D"/>
    <w:rsid w:val="3B9E162B"/>
    <w:rsid w:val="3C2D3471"/>
    <w:rsid w:val="3C432323"/>
    <w:rsid w:val="3F512FA9"/>
    <w:rsid w:val="40BE4152"/>
    <w:rsid w:val="41F61A63"/>
    <w:rsid w:val="440D082E"/>
    <w:rsid w:val="44A21D28"/>
    <w:rsid w:val="452A22D2"/>
    <w:rsid w:val="45DE130F"/>
    <w:rsid w:val="45FF375F"/>
    <w:rsid w:val="49482D29"/>
    <w:rsid w:val="49FDC343"/>
    <w:rsid w:val="4D804EFD"/>
    <w:rsid w:val="51C030D4"/>
    <w:rsid w:val="528C45CC"/>
    <w:rsid w:val="534E5E7A"/>
    <w:rsid w:val="54355317"/>
    <w:rsid w:val="5A8973F3"/>
    <w:rsid w:val="5DA819F5"/>
    <w:rsid w:val="5F6F55C0"/>
    <w:rsid w:val="62E96ED1"/>
    <w:rsid w:val="63C55D7A"/>
    <w:rsid w:val="642D4DED"/>
    <w:rsid w:val="66BD083E"/>
    <w:rsid w:val="697F233D"/>
    <w:rsid w:val="6BD005AC"/>
    <w:rsid w:val="6BFBC666"/>
    <w:rsid w:val="6BFF54AB"/>
    <w:rsid w:val="6CFBB1AB"/>
    <w:rsid w:val="6E1C3379"/>
    <w:rsid w:val="6E6C6D3E"/>
    <w:rsid w:val="6F395D10"/>
    <w:rsid w:val="709F32C5"/>
    <w:rsid w:val="7141437C"/>
    <w:rsid w:val="733B7F01"/>
    <w:rsid w:val="766D79C1"/>
    <w:rsid w:val="76DEF19D"/>
    <w:rsid w:val="77843214"/>
    <w:rsid w:val="77906E40"/>
    <w:rsid w:val="77EF9B95"/>
    <w:rsid w:val="786858E0"/>
    <w:rsid w:val="7A5345AC"/>
    <w:rsid w:val="7A9915D4"/>
    <w:rsid w:val="7BF77F94"/>
    <w:rsid w:val="7D93063A"/>
    <w:rsid w:val="7DD7DD92"/>
    <w:rsid w:val="7E6325F6"/>
    <w:rsid w:val="7EDBFDAC"/>
    <w:rsid w:val="7EFB1380"/>
    <w:rsid w:val="7F7D0C75"/>
    <w:rsid w:val="9F5E7CDC"/>
    <w:rsid w:val="9FBF8896"/>
    <w:rsid w:val="9FED2EAB"/>
    <w:rsid w:val="AFAB795A"/>
    <w:rsid w:val="BEFFA524"/>
    <w:rsid w:val="DBF82200"/>
    <w:rsid w:val="EBFA9DAC"/>
    <w:rsid w:val="EF75D938"/>
    <w:rsid w:val="F4FCECDF"/>
    <w:rsid w:val="F9FFACEC"/>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650</Words>
  <Characters>780</Characters>
  <Lines>9</Lines>
  <Paragraphs>2</Paragraphs>
  <TotalTime>155</TotalTime>
  <ScaleCrop>false</ScaleCrop>
  <LinksUpToDate>false</LinksUpToDate>
  <CharactersWithSpaces>793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2023-07-21T01:07:00Z</dcterms:created>
  <dc:creator>林芸坪</dc:creator>
  <cp:lastModifiedBy>林芸坪</cp:lastModifiedBy>
  <cp:lastPrinted>2023-07-22T00:38:00Z</cp:lastPrinted>
  <dcterms:modified xsi:type="dcterms:W3CDTF">2024-06-04T11:32:44Z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7ACBFDB788514C318E4E1FFCE2989A04_13</vt:lpwstr>
  </property>
</Properties>
</file>