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Autospacing="0" w:afterAutospacing="0" w:line="560" w:lineRule="exact"/>
        <w:jc w:val="left"/>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附件2</w:t>
      </w:r>
    </w:p>
    <w:p>
      <w:pPr>
        <w:keepNext w:val="0"/>
        <w:keepLines w:val="0"/>
        <w:pageBreakBefore w:val="0"/>
        <w:kinsoku/>
        <w:wordWrap/>
        <w:overflowPunct/>
        <w:topLinePunct w:val="0"/>
        <w:autoSpaceDE/>
        <w:autoSpaceDN/>
        <w:bidi w:val="0"/>
        <w:spacing w:line="560" w:lineRule="exact"/>
        <w:jc w:val="both"/>
        <w:textAlignment w:val="auto"/>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深圳市大鹏新区关于促进制造业高质量发展的若干措施</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（征求意见稿）》</w:t>
      </w:r>
      <w:bookmarkStart w:id="0" w:name="_Toc8021_WPSOffice_Level1"/>
      <w:bookmarkStart w:id="1" w:name="_Toc27782_WPSOffice_Level1"/>
      <w:bookmarkStart w:id="2" w:name="_Toc6034_WPSOffice_Level1"/>
      <w:r>
        <w:rPr>
          <w:rFonts w:hint="default"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的</w:t>
      </w:r>
    </w:p>
    <w:p>
      <w:pPr>
        <w:keepNext w:val="0"/>
        <w:keepLines w:val="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修订说明</w:t>
      </w:r>
    </w:p>
    <w:bookmarkEnd w:id="0"/>
    <w:bookmarkEnd w:id="1"/>
    <w:bookmarkEnd w:id="2"/>
    <w:p>
      <w:pPr>
        <w:keepNext w:val="0"/>
        <w:keepLines w:val="0"/>
        <w:pageBreakBefore w:val="0"/>
        <w:numPr>
          <w:ilvl w:val="-1"/>
          <w:numId w:val="0"/>
        </w:numPr>
        <w:tabs>
          <w:tab w:val="left" w:pos="0"/>
        </w:tabs>
        <w:kinsoku/>
        <w:wordWrap/>
        <w:overflowPunct/>
        <w:topLinePunct w:val="0"/>
        <w:autoSpaceDE/>
        <w:autoSpaceDN/>
        <w:bidi w:val="0"/>
        <w:spacing w:line="560" w:lineRule="exact"/>
        <w:ind w:left="0" w:firstLine="0" w:firstLineChars="0"/>
        <w:jc w:val="both"/>
        <w:textAlignment w:val="auto"/>
        <w:outlineLvl w:val="0"/>
        <w:rPr>
          <w:rFonts w:ascii="黑体" w:hAnsi="黑体" w:eastAsia="黑体" w:cs="黑体"/>
          <w:bCs/>
          <w:color w:val="000000" w:themeColor="text1"/>
          <w:kern w:val="44"/>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一、修订背景</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sz w:val="32"/>
          <w:szCs w:val="32"/>
          <w14:textFill>
            <w14:solidFill>
              <w14:schemeClr w14:val="tx1"/>
            </w14:solidFill>
          </w14:textFill>
        </w:rPr>
        <w:t>按照深圳市、大鹏新区推动高质量发展、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打造制造业强市</w:t>
      </w:r>
      <w:r>
        <w:rPr>
          <w:rFonts w:hint="default" w:ascii="仿宋_GB2312" w:hAnsi="仿宋_GB2312" w:eastAsia="仿宋_GB2312" w:cs="仿宋_GB2312"/>
          <w:color w:val="000000" w:themeColor="text1"/>
          <w:sz w:val="32"/>
          <w:szCs w:val="32"/>
          <w14:textFill>
            <w14:solidFill>
              <w14:schemeClr w14:val="tx1"/>
            </w14:solidFill>
          </w14:textFill>
        </w:rPr>
        <w:t>和公平竞争审查工作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的相关</w:t>
      </w:r>
      <w:r>
        <w:rPr>
          <w:rFonts w:hint="default" w:ascii="仿宋_GB2312" w:hAnsi="仿宋_GB2312" w:eastAsia="仿宋_GB2312" w:cs="仿宋_GB2312"/>
          <w:color w:val="000000" w:themeColor="text1"/>
          <w:sz w:val="32"/>
          <w:szCs w:val="32"/>
          <w14:textFill>
            <w14:solidFill>
              <w14:schemeClr w14:val="tx1"/>
            </w14:solidFill>
          </w14:textFill>
        </w:rPr>
        <w:t>要求，新区</w:t>
      </w:r>
      <w:r>
        <w:rPr>
          <w:rFonts w:hint="default" w:ascii="仿宋_GB2312" w:hAnsi="仿宋_GB2312" w:eastAsia="仿宋_GB2312" w:cs="仿宋_GB2312"/>
          <w:color w:val="000000" w:themeColor="text1"/>
          <w:sz w:val="32"/>
          <w:szCs w:val="32"/>
          <w:lang w:val="en-US"/>
          <w14:textFill>
            <w14:solidFill>
              <w14:schemeClr w14:val="tx1"/>
            </w14:solidFill>
          </w14:textFill>
        </w:rPr>
        <w:t>科技创新和经济服务局</w:t>
      </w:r>
      <w:r>
        <w:rPr>
          <w:rFonts w:hint="default" w:ascii="仿宋_GB2312" w:hAnsi="仿宋_GB2312" w:eastAsia="仿宋_GB2312" w:cs="仿宋_GB2312"/>
          <w:color w:val="000000" w:themeColor="text1"/>
          <w:sz w:val="32"/>
          <w:szCs w:val="32"/>
          <w14:textFill>
            <w14:solidFill>
              <w14:schemeClr w14:val="tx1"/>
            </w14:solidFill>
          </w14:textFill>
        </w:rPr>
        <w:t>对</w:t>
      </w:r>
      <w:r>
        <w:rPr>
          <w:rFonts w:hint="eastAsia" w:ascii="仿宋_GB2312" w:hAnsi="仿宋_GB2312" w:eastAsia="仿宋_GB2312" w:cs="仿宋_GB2312"/>
          <w:color w:val="000000" w:themeColor="text1"/>
          <w:sz w:val="32"/>
          <w:szCs w:val="32"/>
          <w:lang w:eastAsia="zh-CN"/>
          <w14:textFill>
            <w14:solidFill>
              <w14:schemeClr w14:val="tx1"/>
            </w14:solidFill>
          </w14:textFill>
        </w:rPr>
        <w:t>制造业高质量发展扶</w:t>
      </w:r>
      <w:r>
        <w:rPr>
          <w:rFonts w:hint="default" w:ascii="仿宋_GB2312" w:hAnsi="仿宋_GB2312" w:eastAsia="仿宋_GB2312" w:cs="仿宋_GB2312"/>
          <w:color w:val="000000" w:themeColor="text1"/>
          <w:sz w:val="32"/>
          <w:szCs w:val="32"/>
          <w14:textFill>
            <w14:solidFill>
              <w14:schemeClr w14:val="tx1"/>
            </w14:solidFill>
          </w14:textFill>
        </w:rPr>
        <w:t>持政策进行了修订。</w:t>
      </w:r>
      <w:r>
        <w:rPr>
          <w:rFonts w:hint="eastAsia" w:ascii="仿宋_GB2312" w:hAnsi="仿宋_GB2312" w:eastAsia="仿宋_GB2312" w:cs="仿宋_GB2312"/>
          <w:color w:val="000000" w:themeColor="text1"/>
          <w:sz w:val="32"/>
          <w:szCs w:val="32"/>
          <w:lang w:eastAsia="zh-CN"/>
          <w14:textFill>
            <w14:solidFill>
              <w14:schemeClr w14:val="tx1"/>
            </w14:solidFill>
          </w14:textFill>
        </w:rPr>
        <w:t>本</w:t>
      </w:r>
      <w:r>
        <w:rPr>
          <w:rFonts w:hint="default" w:ascii="仿宋_GB2312" w:hAnsi="仿宋_GB2312" w:eastAsia="仿宋_GB2312" w:cs="仿宋_GB2312"/>
          <w:color w:val="000000" w:themeColor="text1"/>
          <w:sz w:val="32"/>
          <w:szCs w:val="32"/>
          <w14:textFill>
            <w14:solidFill>
              <w14:schemeClr w14:val="tx1"/>
            </w14:solidFill>
          </w14:textFill>
        </w:rPr>
        <w:t>次修订一是对扶持政策进行精简整合，删除了往年企业申报较少的政策</w:t>
      </w:r>
      <w:r>
        <w:rPr>
          <w:rFonts w:hint="eastAsia" w:ascii="仿宋_GB2312" w:hAnsi="仿宋_GB2312" w:eastAsia="仿宋_GB2312" w:cs="仿宋_GB2312"/>
          <w:color w:val="000000" w:themeColor="text1"/>
          <w:sz w:val="32"/>
          <w:szCs w:val="32"/>
          <w:lang w:eastAsia="zh-CN"/>
          <w14:textFill>
            <w14:solidFill>
              <w14:schemeClr w14:val="tx1"/>
            </w14:solidFill>
          </w14:textFill>
        </w:rPr>
        <w:t>条款</w:t>
      </w:r>
      <w:r>
        <w:rPr>
          <w:rFonts w:hint="default" w:ascii="仿宋_GB2312" w:hAnsi="仿宋_GB2312" w:eastAsia="仿宋_GB2312" w:cs="仿宋_GB2312"/>
          <w:color w:val="000000" w:themeColor="text1"/>
          <w:sz w:val="32"/>
          <w:szCs w:val="32"/>
          <w14:textFill>
            <w14:solidFill>
              <w14:schemeClr w14:val="tx1"/>
            </w14:solidFill>
          </w14:textFill>
        </w:rPr>
        <w:t>，并结合新区企业情况对部分扶持政策进行了调整，加大对</w:t>
      </w:r>
      <w:r>
        <w:rPr>
          <w:rFonts w:hint="eastAsia" w:ascii="仿宋_GB2312" w:hAnsi="仿宋_GB2312" w:eastAsia="仿宋_GB2312" w:cs="仿宋_GB2312"/>
          <w:color w:val="000000" w:themeColor="text1"/>
          <w:sz w:val="32"/>
          <w:szCs w:val="32"/>
          <w:lang w:eastAsia="zh-CN"/>
          <w14:textFill>
            <w14:solidFill>
              <w14:schemeClr w14:val="tx1"/>
            </w14:solidFill>
          </w14:textFill>
        </w:rPr>
        <w:t>百强企业、“专精特新”“小升规”等方面的</w:t>
      </w:r>
      <w:r>
        <w:rPr>
          <w:rFonts w:hint="default" w:ascii="仿宋_GB2312" w:hAnsi="仿宋_GB2312" w:eastAsia="仿宋_GB2312" w:cs="仿宋_GB2312"/>
          <w:color w:val="000000" w:themeColor="text1"/>
          <w:sz w:val="32"/>
          <w:szCs w:val="32"/>
          <w14:textFill>
            <w14:solidFill>
              <w14:schemeClr w14:val="tx1"/>
            </w14:solidFill>
          </w14:textFill>
        </w:rPr>
        <w:t>支持力度，促进</w:t>
      </w:r>
      <w:r>
        <w:rPr>
          <w:rFonts w:hint="eastAsia" w:ascii="仿宋_GB2312" w:hAnsi="仿宋_GB2312" w:eastAsia="仿宋_GB2312" w:cs="仿宋_GB2312"/>
          <w:color w:val="000000" w:themeColor="text1"/>
          <w:sz w:val="32"/>
          <w:szCs w:val="32"/>
          <w:lang w:eastAsia="zh-CN"/>
          <w14:textFill>
            <w14:solidFill>
              <w14:schemeClr w14:val="tx1"/>
            </w14:solidFill>
          </w14:textFill>
        </w:rPr>
        <w:t>新区制造业稳健发展</w:t>
      </w:r>
      <w:r>
        <w:rPr>
          <w:rFonts w:hint="default" w:ascii="仿宋_GB2312" w:hAnsi="仿宋_GB2312" w:eastAsia="仿宋_GB2312" w:cs="仿宋_GB2312"/>
          <w:color w:val="000000" w:themeColor="text1"/>
          <w:sz w:val="32"/>
          <w:szCs w:val="32"/>
          <w14:textFill>
            <w14:solidFill>
              <w14:schemeClr w14:val="tx1"/>
            </w14:solidFill>
          </w14:textFill>
        </w:rPr>
        <w:t>；二是按照公平竞争审查意见，删除了政策措施中对企业</w:t>
      </w:r>
      <w:r>
        <w:rPr>
          <w:rFonts w:hint="eastAsia" w:ascii="仿宋_GB2312" w:hAnsi="仿宋_GB2312" w:eastAsia="仿宋_GB2312" w:cs="仿宋_GB2312"/>
          <w:color w:val="000000" w:themeColor="text1"/>
          <w:sz w:val="32"/>
          <w:szCs w:val="32"/>
          <w:lang w:eastAsia="zh-CN"/>
          <w14:textFill>
            <w14:solidFill>
              <w14:schemeClr w14:val="tx1"/>
            </w14:solidFill>
          </w14:textFill>
        </w:rPr>
        <w:t>注册地、纳统等方面</w:t>
      </w:r>
      <w:r>
        <w:rPr>
          <w:rFonts w:hint="default" w:ascii="仿宋_GB2312" w:hAnsi="仿宋_GB2312" w:eastAsia="仿宋_GB2312" w:cs="仿宋_GB2312"/>
          <w:color w:val="000000" w:themeColor="text1"/>
          <w:sz w:val="32"/>
          <w:szCs w:val="32"/>
          <w14:textFill>
            <w14:solidFill>
              <w14:schemeClr w14:val="tx1"/>
            </w14:solidFill>
          </w14:textFill>
        </w:rPr>
        <w:t>的要求，使扶持政策能惠及更多企业。</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二、删除原有条款，精简政策内容</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删除原文中</w:t>
      </w:r>
      <w:r>
        <w:rPr>
          <w:rFonts w:hint="default" w:ascii="仿宋_GB2312" w:hAnsi="仿宋" w:eastAsia="仿宋_GB2312"/>
          <w:color w:val="000000" w:themeColor="text1"/>
          <w:sz w:val="32"/>
          <w:szCs w:val="32"/>
          <w14:textFill>
            <w14:solidFill>
              <w14:schemeClr w14:val="tx1"/>
            </w14:solidFill>
          </w14:textFill>
        </w:rPr>
        <w:t>第</w:t>
      </w:r>
      <w:r>
        <w:rPr>
          <w:rFonts w:hint="eastAsia" w:ascii="仿宋_GB2312" w:hAnsi="仿宋" w:eastAsia="仿宋_GB2312"/>
          <w:color w:val="000000" w:themeColor="text1"/>
          <w:sz w:val="32"/>
          <w:szCs w:val="32"/>
          <w:lang w:eastAsia="zh-CN"/>
          <w14:textFill>
            <w14:solidFill>
              <w14:schemeClr w14:val="tx1"/>
            </w14:solidFill>
          </w14:textFill>
        </w:rPr>
        <w:t>四</w:t>
      </w:r>
      <w:r>
        <w:rPr>
          <w:rFonts w:hint="default" w:ascii="仿宋_GB2312" w:hAnsi="仿宋" w:eastAsia="仿宋_GB2312"/>
          <w:color w:val="000000" w:themeColor="text1"/>
          <w:sz w:val="32"/>
          <w:szCs w:val="32"/>
          <w14:textFill>
            <w14:solidFill>
              <w14:schemeClr w14:val="tx1"/>
            </w14:solidFill>
          </w14:textFill>
        </w:rPr>
        <w:t>条</w:t>
      </w:r>
      <w:r>
        <w:rPr>
          <w:rFonts w:hint="eastAsia" w:ascii="仿宋_GB2312" w:hAnsi="仿宋" w:eastAsia="仿宋_GB2312"/>
          <w:color w:val="000000" w:themeColor="text1"/>
          <w:sz w:val="32"/>
          <w:szCs w:val="32"/>
          <w14:textFill>
            <w14:solidFill>
              <w14:schemeClr w14:val="tx1"/>
            </w14:solidFill>
          </w14:textFill>
        </w:rPr>
        <w:t>、</w:t>
      </w:r>
      <w:r>
        <w:rPr>
          <w:rFonts w:hint="default" w:ascii="仿宋_GB2312" w:hAnsi="仿宋" w:eastAsia="仿宋_GB2312"/>
          <w:color w:val="000000" w:themeColor="text1"/>
          <w:sz w:val="32"/>
          <w:szCs w:val="32"/>
          <w14:textFill>
            <w14:solidFill>
              <w14:schemeClr w14:val="tx1"/>
            </w14:solidFill>
          </w14:textFill>
        </w:rPr>
        <w:t>第</w:t>
      </w:r>
      <w:r>
        <w:rPr>
          <w:rFonts w:hint="eastAsia" w:ascii="仿宋_GB2312" w:hAnsi="仿宋" w:eastAsia="仿宋_GB2312"/>
          <w:color w:val="000000" w:themeColor="text1"/>
          <w:sz w:val="32"/>
          <w:szCs w:val="32"/>
          <w:lang w:eastAsia="zh-CN"/>
          <w14:textFill>
            <w14:solidFill>
              <w14:schemeClr w14:val="tx1"/>
            </w14:solidFill>
          </w14:textFill>
        </w:rPr>
        <w:t>十四</w:t>
      </w:r>
      <w:r>
        <w:rPr>
          <w:rFonts w:hint="default" w:ascii="仿宋_GB2312" w:hAnsi="仿宋" w:eastAsia="仿宋_GB2312"/>
          <w:color w:val="000000" w:themeColor="text1"/>
          <w:sz w:val="32"/>
          <w:szCs w:val="32"/>
          <w14:textFill>
            <w14:solidFill>
              <w14:schemeClr w14:val="tx1"/>
            </w14:solidFill>
          </w14:textFill>
        </w:rPr>
        <w:t>条</w:t>
      </w:r>
      <w:r>
        <w:rPr>
          <w:rFonts w:hint="default" w:ascii="仿宋_GB2312" w:hAnsi="仿宋" w:eastAsia="仿宋_GB2312"/>
          <w:color w:val="000000" w:themeColor="text1"/>
          <w:sz w:val="32"/>
          <w:szCs w:val="32"/>
          <w:lang w:val="en-US"/>
          <w14:textFill>
            <w14:solidFill>
              <w14:schemeClr w14:val="tx1"/>
            </w14:solidFill>
          </w14:textFill>
        </w:rPr>
        <w:t>、</w:t>
      </w:r>
      <w:r>
        <w:rPr>
          <w:rFonts w:hint="default" w:ascii="仿宋_GB2312" w:hAnsi="仿宋" w:eastAsia="仿宋_GB2312"/>
          <w:color w:val="000000" w:themeColor="text1"/>
          <w:sz w:val="32"/>
          <w:szCs w:val="32"/>
          <w14:textFill>
            <w14:solidFill>
              <w14:schemeClr w14:val="tx1"/>
            </w14:solidFill>
          </w14:textFill>
        </w:rPr>
        <w:t>第</w:t>
      </w:r>
      <w:r>
        <w:rPr>
          <w:rFonts w:hint="eastAsia" w:ascii="仿宋_GB2312" w:hAnsi="仿宋" w:eastAsia="仿宋_GB2312"/>
          <w:color w:val="000000" w:themeColor="text1"/>
          <w:sz w:val="32"/>
          <w:szCs w:val="32"/>
          <w:lang w:eastAsia="zh-CN"/>
          <w14:textFill>
            <w14:solidFill>
              <w14:schemeClr w14:val="tx1"/>
            </w14:solidFill>
          </w14:textFill>
        </w:rPr>
        <w:t>十五</w:t>
      </w:r>
      <w:r>
        <w:rPr>
          <w:rFonts w:hint="default" w:ascii="仿宋_GB2312" w:hAnsi="仿宋" w:eastAsia="仿宋_GB2312"/>
          <w:color w:val="000000" w:themeColor="text1"/>
          <w:sz w:val="32"/>
          <w:szCs w:val="32"/>
          <w14:textFill>
            <w14:solidFill>
              <w14:schemeClr w14:val="tx1"/>
            </w14:solidFill>
          </w14:textFill>
        </w:rPr>
        <w:t>条、第</w:t>
      </w:r>
      <w:r>
        <w:rPr>
          <w:rFonts w:hint="eastAsia" w:ascii="仿宋_GB2312" w:hAnsi="仿宋" w:eastAsia="仿宋_GB2312"/>
          <w:color w:val="000000" w:themeColor="text1"/>
          <w:sz w:val="32"/>
          <w:szCs w:val="32"/>
          <w:lang w:eastAsia="zh-CN"/>
          <w14:textFill>
            <w14:solidFill>
              <w14:schemeClr w14:val="tx1"/>
            </w14:solidFill>
          </w14:textFill>
        </w:rPr>
        <w:t>十六</w:t>
      </w:r>
      <w:r>
        <w:rPr>
          <w:rFonts w:hint="default" w:ascii="仿宋_GB2312" w:hAnsi="仿宋" w:eastAsia="仿宋_GB2312"/>
          <w:color w:val="000000" w:themeColor="text1"/>
          <w:sz w:val="32"/>
          <w:szCs w:val="32"/>
          <w14:textFill>
            <w14:solidFill>
              <w14:schemeClr w14:val="tx1"/>
            </w14:solidFill>
          </w14:textFill>
        </w:rPr>
        <w:t>条、第十</w:t>
      </w:r>
      <w:r>
        <w:rPr>
          <w:rFonts w:hint="eastAsia" w:ascii="仿宋_GB2312" w:hAnsi="仿宋" w:eastAsia="仿宋_GB2312"/>
          <w:color w:val="000000" w:themeColor="text1"/>
          <w:sz w:val="32"/>
          <w:szCs w:val="32"/>
          <w:lang w:eastAsia="zh-CN"/>
          <w14:textFill>
            <w14:solidFill>
              <w14:schemeClr w14:val="tx1"/>
            </w14:solidFill>
          </w14:textFill>
        </w:rPr>
        <w:t>七</w:t>
      </w:r>
      <w:r>
        <w:rPr>
          <w:rFonts w:hint="default" w:ascii="仿宋_GB2312" w:hAnsi="仿宋" w:eastAsia="仿宋_GB2312"/>
          <w:color w:val="000000" w:themeColor="text1"/>
          <w:sz w:val="32"/>
          <w:szCs w:val="32"/>
          <w14:textFill>
            <w14:solidFill>
              <w14:schemeClr w14:val="tx1"/>
            </w14:solidFill>
          </w14:textFill>
        </w:rPr>
        <w:t>条</w:t>
      </w:r>
      <w:r>
        <w:rPr>
          <w:rFonts w:hint="eastAsia" w:ascii="仿宋_GB2312" w:hAnsi="仿宋" w:eastAsia="仿宋_GB2312"/>
          <w:color w:val="000000" w:themeColor="text1"/>
          <w:sz w:val="32"/>
          <w:szCs w:val="32"/>
          <w14:textFill>
            <w14:solidFill>
              <w14:schemeClr w14:val="tx1"/>
            </w14:solidFill>
          </w14:textFill>
        </w:rPr>
        <w:t>政策内容</w:t>
      </w:r>
      <w:r>
        <w:rPr>
          <w:rFonts w:hint="default" w:ascii="仿宋_GB2312" w:hAnsi="仿宋" w:eastAsia="仿宋_GB2312"/>
          <w:color w:val="000000" w:themeColor="text1"/>
          <w:sz w:val="32"/>
          <w:szCs w:val="32"/>
          <w14:textFill>
            <w14:solidFill>
              <w14:schemeClr w14:val="tx1"/>
            </w14:solidFill>
          </w14:textFill>
        </w:rPr>
        <w:t>。</w:t>
      </w:r>
    </w:p>
    <w:p>
      <w:pPr>
        <w:keepNext w:val="0"/>
        <w:keepLines w:val="0"/>
        <w:pageBreakBefore w:val="0"/>
        <w:numPr>
          <w:ilvl w:val="-1"/>
          <w:numId w:val="0"/>
        </w:numPr>
        <w:kinsoku/>
        <w:wordWrap/>
        <w:overflowPunct/>
        <w:topLinePunct w:val="0"/>
        <w:autoSpaceDE/>
        <w:autoSpaceDN/>
        <w:bidi w:val="0"/>
        <w:snapToGrid w:val="0"/>
        <w:spacing w:line="560" w:lineRule="exact"/>
        <w:ind w:leftChars="0" w:firstLine="642" w:firstLineChars="200"/>
        <w:textAlignment w:val="auto"/>
        <w:outlineLvl w:val="9"/>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原文：</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第四条  </w:t>
      </w:r>
      <w:r>
        <w:rPr>
          <w:rFonts w:hint="eastAsia" w:ascii="仿宋_GB2312" w:hAnsi="仿宋_GB2312" w:eastAsia="仿宋_GB2312" w:cs="仿宋_GB2312"/>
          <w:color w:val="000000" w:themeColor="text1"/>
          <w:sz w:val="32"/>
          <w:szCs w:val="32"/>
          <w:highlight w:val="none"/>
          <w14:textFill>
            <w14:solidFill>
              <w14:schemeClr w14:val="tx1"/>
            </w14:solidFill>
          </w14:textFill>
        </w:rPr>
        <w:t>鼓励企业创建技术中心。对上年度被认定为国家、省、市级企业技术中心的制造业企业，分别给予一次性200万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元</w:t>
      </w:r>
      <w:r>
        <w:rPr>
          <w:rFonts w:hint="eastAsia" w:ascii="仿宋_GB2312" w:hAnsi="仿宋_GB2312" w:eastAsia="仿宋_GB2312" w:cs="仿宋_GB2312"/>
          <w:color w:val="000000" w:themeColor="text1"/>
          <w:sz w:val="32"/>
          <w:szCs w:val="32"/>
          <w:highlight w:val="none"/>
          <w14:textFill>
            <w14:solidFill>
              <w14:schemeClr w14:val="tx1"/>
            </w14:solidFill>
          </w14:textFill>
        </w:rPr>
        <w:t>、100万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元</w:t>
      </w:r>
      <w:r>
        <w:rPr>
          <w:rFonts w:hint="eastAsia" w:ascii="仿宋_GB2312" w:hAnsi="仿宋_GB2312" w:eastAsia="仿宋_GB2312" w:cs="仿宋_GB2312"/>
          <w:color w:val="000000" w:themeColor="text1"/>
          <w:sz w:val="32"/>
          <w:szCs w:val="32"/>
          <w:highlight w:val="none"/>
          <w14:textFill>
            <w14:solidFill>
              <w14:schemeClr w14:val="tx1"/>
            </w14:solidFill>
          </w14:textFill>
        </w:rPr>
        <w:t>、50万元的奖励。同一企业被认定为不同级别技术中心的，按照“从高不重复”原则给予奖励。对获得奖励后被认定为更高级别技术中心的，按相应奖励标准追加差额奖励。</w:t>
      </w:r>
    </w:p>
    <w:p>
      <w:pPr>
        <w:keepNext w:val="0"/>
        <w:keepLines w:val="0"/>
        <w:pageBreakBefore w:val="0"/>
        <w:numPr>
          <w:ilvl w:val="-1"/>
          <w:numId w:val="0"/>
        </w:numPr>
        <w:tabs>
          <w:tab w:val="left" w:pos="0"/>
        </w:tabs>
        <w:kinsoku/>
        <w:wordWrap/>
        <w:overflowPunct/>
        <w:topLinePunct w:val="0"/>
        <w:autoSpaceDE/>
        <w:autoSpaceDN/>
        <w:bidi w:val="0"/>
        <w:spacing w:line="560" w:lineRule="exact"/>
        <w:ind w:leftChars="0" w:firstLine="640" w:firstLineChars="200"/>
        <w:textAlignment w:val="auto"/>
        <w:outlineLvl w:val="1"/>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第</w:t>
      </w:r>
      <w:r>
        <w:rPr>
          <w:rFonts w:hint="eastAsia" w:ascii="仿宋_GB2312" w:hAnsi="仿宋" w:eastAsia="仿宋_GB2312"/>
          <w:color w:val="000000" w:themeColor="text1"/>
          <w:sz w:val="32"/>
          <w:szCs w:val="32"/>
          <w:lang w:eastAsia="zh-CN"/>
          <w14:textFill>
            <w14:solidFill>
              <w14:schemeClr w14:val="tx1"/>
            </w14:solidFill>
          </w14:textFill>
        </w:rPr>
        <w:t>十四</w:t>
      </w:r>
      <w:r>
        <w:rPr>
          <w:rFonts w:hint="default" w:ascii="仿宋_GB2312" w:hAnsi="仿宋" w:eastAsia="仿宋_GB2312"/>
          <w:color w:val="000000" w:themeColor="text1"/>
          <w:sz w:val="32"/>
          <w:szCs w:val="32"/>
          <w14:textFill>
            <w14:solidFill>
              <w14:schemeClr w14:val="tx1"/>
            </w14:solidFill>
          </w14:textFill>
        </w:rPr>
        <w:t>条</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支持工业园区集聚发展</w:t>
      </w:r>
      <w:r>
        <w:rPr>
          <w:rFonts w:hint="default" w:ascii="仿宋_GB2312" w:hAnsi="仿宋_GB2312" w:eastAsia="仿宋_GB2312" w:cs="仿宋_GB2312"/>
          <w:color w:val="000000" w:themeColor="text1"/>
          <w:sz w:val="32"/>
          <w:szCs w:val="32"/>
          <w:highlight w:val="none"/>
          <w14:textFill>
            <w14:solidFill>
              <w14:schemeClr w14:val="tx1"/>
            </w14:solidFill>
          </w14:textFill>
        </w:rPr>
        <w:t>。自2021年起，对</w:t>
      </w:r>
      <w:r>
        <w:rPr>
          <w:rFonts w:hint="eastAsia" w:ascii="仿宋_GB2312" w:hAnsi="仿宋_GB2312" w:eastAsia="仿宋_GB2312" w:cs="仿宋_GB2312"/>
          <w:color w:val="000000" w:themeColor="text1"/>
          <w:sz w:val="32"/>
          <w:szCs w:val="32"/>
          <w:highlight w:val="none"/>
          <w14:textFill>
            <w14:solidFill>
              <w14:schemeClr w14:val="tx1"/>
            </w14:solidFill>
          </w14:textFill>
        </w:rPr>
        <w:t>新增1家以上且在新区正常经营满一年的规上工业企业的园区运营单位给予一次性奖励：新增1家的，给予一次性5万元的奖励；新增2家以上的，给予一次性10万元的奖励；新增5家以上的，给予一次性50万元的奖励；新增10家以上的，给予一次性100万元的奖励。</w:t>
      </w:r>
    </w:p>
    <w:p>
      <w:pPr>
        <w:keepNext w:val="0"/>
        <w:keepLines w:val="0"/>
        <w:pageBreakBefore w:val="0"/>
        <w:numPr>
          <w:ilvl w:val="-1"/>
          <w:numId w:val="0"/>
        </w:numPr>
        <w:tabs>
          <w:tab w:val="left" w:pos="0"/>
        </w:tabs>
        <w:kinsoku/>
        <w:wordWrap/>
        <w:overflowPunct/>
        <w:topLinePunct w:val="0"/>
        <w:autoSpaceDE/>
        <w:autoSpaceDN/>
        <w:bidi w:val="0"/>
        <w:spacing w:line="560" w:lineRule="exact"/>
        <w:ind w:leftChars="0" w:firstLine="640" w:firstLineChars="200"/>
        <w:textAlignment w:val="auto"/>
        <w:outlineLvl w:val="1"/>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第十五条  </w:t>
      </w:r>
      <w:bookmarkStart w:id="3" w:name="_Toc16016"/>
      <w:r>
        <w:rPr>
          <w:rFonts w:hint="eastAsia" w:ascii="仿宋_GB2312" w:hAnsi="仿宋_GB2312" w:eastAsia="仿宋_GB2312" w:cs="仿宋_GB2312"/>
          <w:color w:val="000000" w:themeColor="text1"/>
          <w:sz w:val="32"/>
          <w:szCs w:val="32"/>
          <w:highlight w:val="none"/>
          <w14:textFill>
            <w14:solidFill>
              <w14:schemeClr w14:val="tx1"/>
            </w14:solidFill>
          </w14:textFill>
        </w:rPr>
        <w:t>鼓励创建特色产业园和双创示范基地</w:t>
      </w:r>
      <w:bookmarkEnd w:id="3"/>
      <w:r>
        <w:rPr>
          <w:rFonts w:hint="default"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对获得深圳市工业和信息化部门资助的特色产业园和市级创业创新示范基地，按其获得市级奖励金额的50%给予一次性奖励，奖励上限150万元。</w:t>
      </w:r>
    </w:p>
    <w:p>
      <w:pPr>
        <w:keepNext w:val="0"/>
        <w:keepLines w:val="0"/>
        <w:pageBreakBefore w:val="0"/>
        <w:numPr>
          <w:ilvl w:val="-1"/>
          <w:numId w:val="0"/>
        </w:numPr>
        <w:tabs>
          <w:tab w:val="left" w:pos="0"/>
        </w:tabs>
        <w:kinsoku/>
        <w:wordWrap/>
        <w:overflowPunct/>
        <w:topLinePunct w:val="0"/>
        <w:autoSpaceDE/>
        <w:autoSpaceDN/>
        <w:bidi w:val="0"/>
        <w:spacing w:line="560" w:lineRule="exact"/>
        <w:ind w:leftChars="0" w:firstLine="640" w:firstLineChars="200"/>
        <w:textAlignment w:val="auto"/>
        <w:outlineLvl w:val="1"/>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第十六条</w:t>
      </w:r>
      <w:r>
        <w:rPr>
          <w:rFonts w:hint="default"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对上年度被认定为国家新型工业化产业示范基地的园区，对园区运营单位一次性奖励100万元；对上年度被认定为省市共建的战略性新兴产业基地的园区，对园区运营单位一次性奖励50万元。</w:t>
      </w:r>
    </w:p>
    <w:p>
      <w:pPr>
        <w:keepNext w:val="0"/>
        <w:keepLines w:val="0"/>
        <w:pageBreakBefore w:val="0"/>
        <w:numPr>
          <w:ilvl w:val="-1"/>
          <w:numId w:val="0"/>
        </w:numPr>
        <w:tabs>
          <w:tab w:val="left" w:pos="0"/>
        </w:tabs>
        <w:kinsoku/>
        <w:wordWrap/>
        <w:overflowPunct/>
        <w:topLinePunct w:val="0"/>
        <w:autoSpaceDE/>
        <w:autoSpaceDN/>
        <w:bidi w:val="0"/>
        <w:spacing w:line="560" w:lineRule="exact"/>
        <w:ind w:leftChars="0" w:firstLine="640" w:firstLineChars="200"/>
        <w:textAlignment w:val="auto"/>
        <w:outlineLvl w:val="1"/>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4" w:name="_Toc126"/>
      <w:r>
        <w:rPr>
          <w:rFonts w:hint="eastAsia" w:ascii="仿宋_GB2312" w:hAnsi="仿宋_GB2312" w:eastAsia="仿宋_GB2312" w:cs="仿宋_GB2312"/>
          <w:color w:val="000000" w:themeColor="text1"/>
          <w:sz w:val="32"/>
          <w:szCs w:val="32"/>
          <w:highlight w:val="none"/>
          <w14:textFill>
            <w14:solidFill>
              <w14:schemeClr w14:val="tx1"/>
            </w14:solidFill>
          </w14:textFill>
        </w:rPr>
        <w:t>第十七条</w:t>
      </w:r>
      <w:r>
        <w:rPr>
          <w:rFonts w:hint="default"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鼓励拓展提升产业空间</w:t>
      </w:r>
      <w:bookmarkEnd w:id="4"/>
      <w:r>
        <w:rPr>
          <w:rFonts w:hint="default"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default" w:ascii="仿宋_GB2312" w:hAnsi="仿宋_GB2312" w:eastAsia="仿宋_GB2312" w:cs="仿宋_GB2312"/>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将新区范围内的旧村屋、旧工业区、旧商住区以拆除重建的方式改造为现代化工业园区，改造后厂房建筑面积在5000平方米以上的，经专项审计后，一次性给予工业企业厂房实际投入开发建设费用的20%的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支持</w:t>
      </w:r>
      <w:r>
        <w:rPr>
          <w:rFonts w:hint="eastAsia" w:ascii="仿宋_GB2312" w:hAnsi="仿宋_GB2312" w:eastAsia="仿宋_GB2312" w:cs="仿宋_GB2312"/>
          <w:color w:val="000000" w:themeColor="text1"/>
          <w:sz w:val="32"/>
          <w:szCs w:val="32"/>
          <w:highlight w:val="none"/>
          <w14:textFill>
            <w14:solidFill>
              <w14:schemeClr w14:val="tx1"/>
            </w14:solidFill>
          </w14:textFill>
        </w:rPr>
        <w:t>，单个园区最高不超过200万元。</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default" w:ascii="仿宋_GB2312" w:hAnsi="仿宋_GB2312" w:eastAsia="仿宋_GB2312" w:cs="仿宋_GB2312"/>
          <w:color w:val="000000" w:themeColor="text1"/>
          <w:sz w:val="32"/>
          <w:szCs w:val="32"/>
          <w:highlight w:val="none"/>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制造业企业或工业园区运营单位，对现行使用中的自有园区，在约定的容积率范围内</w:t>
      </w:r>
      <w:r>
        <w:rPr>
          <w:rFonts w:hint="default" w:ascii="仿宋_GB2312" w:hAnsi="仿宋_GB2312" w:eastAsia="仿宋_GB2312" w:cs="仿宋_GB2312"/>
          <w:color w:val="000000" w:themeColor="text1"/>
          <w:sz w:val="32"/>
          <w:szCs w:val="32"/>
          <w:highlight w:val="none"/>
          <w14:textFill>
            <w14:solidFill>
              <w14:schemeClr w14:val="tx1"/>
            </w14:solidFill>
          </w14:textFill>
        </w:rPr>
        <w:t>依法</w:t>
      </w:r>
      <w:r>
        <w:rPr>
          <w:rFonts w:hint="eastAsia" w:ascii="仿宋_GB2312" w:hAnsi="仿宋_GB2312" w:eastAsia="仿宋_GB2312" w:cs="仿宋_GB2312"/>
          <w:color w:val="000000" w:themeColor="text1"/>
          <w:sz w:val="32"/>
          <w:szCs w:val="32"/>
          <w:highlight w:val="none"/>
          <w14:textFill>
            <w14:solidFill>
              <w14:schemeClr w14:val="tx1"/>
            </w14:solidFill>
          </w14:textFill>
        </w:rPr>
        <w:t>以加改扩建生产经营性建筑面积类综合整治方式改造升级的，给予新建厂房面积每平方米30元，最高200万元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支持</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560" w:lineRule="exact"/>
        <w:ind w:firstLine="642" w:firstLineChars="200"/>
        <w:textAlignment w:val="auto"/>
        <w:rPr>
          <w:rFonts w:hint="default" w:ascii="仿宋_GB2312"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修订说明：</w:t>
      </w:r>
      <w:r>
        <w:rPr>
          <w:rFonts w:hint="eastAsia" w:ascii="仿宋_GB2312" w:hAnsi="Times New Roman" w:eastAsia="仿宋_GB2312" w:cs="Times New Roman"/>
          <w:b w:val="0"/>
          <w:bCs/>
          <w:color w:val="000000" w:themeColor="text1"/>
          <w:sz w:val="32"/>
          <w:szCs w:val="32"/>
          <w:lang w:eastAsia="zh-CN"/>
          <w14:textFill>
            <w14:solidFill>
              <w14:schemeClr w14:val="tx1"/>
            </w14:solidFill>
          </w14:textFill>
        </w:rPr>
        <w:t>原措施</w:t>
      </w:r>
      <w:r>
        <w:rPr>
          <w:rFonts w:hint="default" w:ascii="仿宋_GB2312" w:hAnsi="仿宋" w:eastAsia="仿宋_GB2312"/>
          <w:color w:val="000000" w:themeColor="text1"/>
          <w:sz w:val="32"/>
          <w:szCs w:val="32"/>
          <w14:textFill>
            <w14:solidFill>
              <w14:schemeClr w14:val="tx1"/>
            </w14:solidFill>
          </w14:textFill>
        </w:rPr>
        <w:t>第</w:t>
      </w:r>
      <w:r>
        <w:rPr>
          <w:rFonts w:hint="eastAsia" w:ascii="仿宋_GB2312" w:hAnsi="仿宋" w:eastAsia="仿宋_GB2312"/>
          <w:color w:val="000000" w:themeColor="text1"/>
          <w:sz w:val="32"/>
          <w:szCs w:val="32"/>
          <w:lang w:eastAsia="zh-CN"/>
          <w14:textFill>
            <w14:solidFill>
              <w14:schemeClr w14:val="tx1"/>
            </w14:solidFill>
          </w14:textFill>
        </w:rPr>
        <w:t>四</w:t>
      </w:r>
      <w:r>
        <w:rPr>
          <w:rFonts w:hint="default" w:ascii="仿宋_GB2312" w:hAnsi="仿宋" w:eastAsia="仿宋_GB2312"/>
          <w:color w:val="000000" w:themeColor="text1"/>
          <w:sz w:val="32"/>
          <w:szCs w:val="32"/>
          <w14:textFill>
            <w14:solidFill>
              <w14:schemeClr w14:val="tx1"/>
            </w14:solidFill>
          </w14:textFill>
        </w:rPr>
        <w:t>条</w:t>
      </w:r>
      <w:r>
        <w:rPr>
          <w:rFonts w:hint="eastAsia" w:ascii="仿宋_GB2312" w:hAnsi="仿宋" w:eastAsia="仿宋_GB2312"/>
          <w:color w:val="000000" w:themeColor="text1"/>
          <w:sz w:val="32"/>
          <w:szCs w:val="32"/>
          <w14:textFill>
            <w14:solidFill>
              <w14:schemeClr w14:val="tx1"/>
            </w14:solidFill>
          </w14:textFill>
        </w:rPr>
        <w:t>、</w:t>
      </w:r>
      <w:r>
        <w:rPr>
          <w:rFonts w:hint="default" w:ascii="仿宋_GB2312" w:hAnsi="仿宋" w:eastAsia="仿宋_GB2312"/>
          <w:color w:val="000000" w:themeColor="text1"/>
          <w:sz w:val="32"/>
          <w:szCs w:val="32"/>
          <w14:textFill>
            <w14:solidFill>
              <w14:schemeClr w14:val="tx1"/>
            </w14:solidFill>
          </w14:textFill>
        </w:rPr>
        <w:t>第</w:t>
      </w:r>
      <w:r>
        <w:rPr>
          <w:rFonts w:hint="eastAsia" w:ascii="仿宋_GB2312" w:hAnsi="仿宋" w:eastAsia="仿宋_GB2312"/>
          <w:color w:val="000000" w:themeColor="text1"/>
          <w:sz w:val="32"/>
          <w:szCs w:val="32"/>
          <w:lang w:eastAsia="zh-CN"/>
          <w14:textFill>
            <w14:solidFill>
              <w14:schemeClr w14:val="tx1"/>
            </w14:solidFill>
          </w14:textFill>
        </w:rPr>
        <w:t>十四</w:t>
      </w:r>
      <w:r>
        <w:rPr>
          <w:rFonts w:hint="default" w:ascii="仿宋_GB2312" w:hAnsi="仿宋" w:eastAsia="仿宋_GB2312"/>
          <w:color w:val="000000" w:themeColor="text1"/>
          <w:sz w:val="32"/>
          <w:szCs w:val="32"/>
          <w14:textFill>
            <w14:solidFill>
              <w14:schemeClr w14:val="tx1"/>
            </w14:solidFill>
          </w14:textFill>
        </w:rPr>
        <w:t>条、第</w:t>
      </w:r>
      <w:r>
        <w:rPr>
          <w:rFonts w:hint="eastAsia" w:ascii="仿宋_GB2312" w:hAnsi="仿宋" w:eastAsia="仿宋_GB2312"/>
          <w:color w:val="000000" w:themeColor="text1"/>
          <w:sz w:val="32"/>
          <w:szCs w:val="32"/>
          <w:lang w:eastAsia="zh-CN"/>
          <w14:textFill>
            <w14:solidFill>
              <w14:schemeClr w14:val="tx1"/>
            </w14:solidFill>
          </w14:textFill>
        </w:rPr>
        <w:t>十五</w:t>
      </w:r>
      <w:r>
        <w:rPr>
          <w:rFonts w:hint="default" w:ascii="仿宋_GB2312" w:hAnsi="仿宋" w:eastAsia="仿宋_GB2312"/>
          <w:color w:val="000000" w:themeColor="text1"/>
          <w:sz w:val="32"/>
          <w:szCs w:val="32"/>
          <w14:textFill>
            <w14:solidFill>
              <w14:schemeClr w14:val="tx1"/>
            </w14:solidFill>
          </w14:textFill>
        </w:rPr>
        <w:t>条、第</w:t>
      </w:r>
      <w:r>
        <w:rPr>
          <w:rFonts w:hint="eastAsia" w:ascii="仿宋_GB2312" w:hAnsi="仿宋" w:eastAsia="仿宋_GB2312"/>
          <w:color w:val="000000" w:themeColor="text1"/>
          <w:sz w:val="32"/>
          <w:szCs w:val="32"/>
          <w:lang w:eastAsia="zh-CN"/>
          <w14:textFill>
            <w14:solidFill>
              <w14:schemeClr w14:val="tx1"/>
            </w14:solidFill>
          </w14:textFill>
        </w:rPr>
        <w:t>十六</w:t>
      </w:r>
      <w:r>
        <w:rPr>
          <w:rFonts w:hint="default" w:ascii="仿宋_GB2312" w:hAnsi="仿宋" w:eastAsia="仿宋_GB2312"/>
          <w:color w:val="000000" w:themeColor="text1"/>
          <w:sz w:val="32"/>
          <w:szCs w:val="32"/>
          <w14:textFill>
            <w14:solidFill>
              <w14:schemeClr w14:val="tx1"/>
            </w14:solidFill>
          </w14:textFill>
        </w:rPr>
        <w:t>条、第十</w:t>
      </w:r>
      <w:r>
        <w:rPr>
          <w:rFonts w:hint="eastAsia" w:ascii="仿宋_GB2312" w:hAnsi="仿宋" w:eastAsia="仿宋_GB2312"/>
          <w:color w:val="000000" w:themeColor="text1"/>
          <w:sz w:val="32"/>
          <w:szCs w:val="32"/>
          <w:lang w:eastAsia="zh-CN"/>
          <w14:textFill>
            <w14:solidFill>
              <w14:schemeClr w14:val="tx1"/>
            </w14:solidFill>
          </w14:textFill>
        </w:rPr>
        <w:t>七</w:t>
      </w:r>
      <w:r>
        <w:rPr>
          <w:rFonts w:hint="default" w:ascii="仿宋_GB2312" w:hAnsi="仿宋" w:eastAsia="仿宋_GB2312"/>
          <w:color w:val="000000" w:themeColor="text1"/>
          <w:sz w:val="32"/>
          <w:szCs w:val="32"/>
          <w14:textFill>
            <w14:solidFill>
              <w14:schemeClr w14:val="tx1"/>
            </w14:solidFill>
          </w14:textFill>
        </w:rPr>
        <w:t>条</w:t>
      </w:r>
      <w:r>
        <w:rPr>
          <w:rFonts w:hint="eastAsia" w:ascii="仿宋_GB2312" w:hAnsi="仿宋" w:eastAsia="仿宋_GB2312"/>
          <w:color w:val="000000" w:themeColor="text1"/>
          <w:sz w:val="32"/>
          <w:szCs w:val="32"/>
          <w:lang w:eastAsia="zh-CN"/>
          <w14:textFill>
            <w14:solidFill>
              <w14:schemeClr w14:val="tx1"/>
            </w14:solidFill>
          </w14:textFill>
        </w:rPr>
        <w:t>，根据往年项目受理情况，新区</w:t>
      </w:r>
      <w:r>
        <w:rPr>
          <w:rFonts w:hint="default" w:ascii="仿宋_GB2312" w:eastAsia="仿宋_GB2312"/>
          <w:color w:val="000000" w:themeColor="text1"/>
          <w:sz w:val="32"/>
          <w:szCs w:val="32"/>
          <w14:textFill>
            <w14:solidFill>
              <w14:schemeClr w14:val="tx1"/>
            </w14:solidFill>
          </w14:textFill>
        </w:rPr>
        <w:t>符合条件的项目数量较少，为精简扶持政策内容，删除了上述扶持措施。</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黑体" w:hAnsi="黑体" w:eastAsia="黑体"/>
          <w:color w:val="000000" w:themeColor="text1"/>
          <w:sz w:val="32"/>
          <w:szCs w:val="32"/>
          <w14:textFill>
            <w14:solidFill>
              <w14:schemeClr w14:val="tx1"/>
            </w14:solidFill>
          </w14:textFill>
        </w:rPr>
      </w:pPr>
      <w:r>
        <w:rPr>
          <w:rFonts w:hint="default" w:ascii="黑体" w:hAnsi="黑体" w:eastAsia="黑体"/>
          <w:color w:val="000000" w:themeColor="text1"/>
          <w:sz w:val="32"/>
          <w:szCs w:val="32"/>
          <w14:textFill>
            <w14:solidFill>
              <w14:schemeClr w14:val="tx1"/>
            </w14:solidFill>
          </w14:textFill>
        </w:rPr>
        <w:t>三</w:t>
      </w:r>
      <w:r>
        <w:rPr>
          <w:rFonts w:hint="eastAsia" w:ascii="黑体" w:hAnsi="黑体" w:eastAsia="黑体"/>
          <w:color w:val="000000" w:themeColor="text1"/>
          <w:sz w:val="32"/>
          <w:szCs w:val="32"/>
          <w14:textFill>
            <w14:solidFill>
              <w14:schemeClr w14:val="tx1"/>
            </w14:solidFill>
          </w14:textFill>
        </w:rPr>
        <w:t>、</w:t>
      </w:r>
      <w:r>
        <w:rPr>
          <w:rFonts w:hint="default" w:ascii="黑体" w:hAnsi="黑体" w:eastAsia="黑体"/>
          <w:color w:val="000000" w:themeColor="text1"/>
          <w:sz w:val="32"/>
          <w:szCs w:val="32"/>
          <w14:textFill>
            <w14:solidFill>
              <w14:schemeClr w14:val="tx1"/>
            </w14:solidFill>
          </w14:textFill>
        </w:rPr>
        <w:t>修订政策内容</w:t>
      </w:r>
      <w:r>
        <w:rPr>
          <w:rFonts w:hint="eastAsia" w:ascii="黑体" w:hAnsi="黑体" w:eastAsia="黑体"/>
          <w:color w:val="000000" w:themeColor="text1"/>
          <w:sz w:val="32"/>
          <w:szCs w:val="32"/>
          <w14:textFill>
            <w14:solidFill>
              <w14:schemeClr w14:val="tx1"/>
            </w14:solidFill>
          </w14:textFill>
        </w:rPr>
        <w:t>，</w:t>
      </w:r>
      <w:r>
        <w:rPr>
          <w:rFonts w:hint="default" w:ascii="黑体" w:hAnsi="黑体" w:eastAsia="黑体"/>
          <w:color w:val="000000" w:themeColor="text1"/>
          <w:sz w:val="32"/>
          <w:szCs w:val="32"/>
          <w14:textFill>
            <w14:solidFill>
              <w14:schemeClr w14:val="tx1"/>
            </w14:solidFill>
          </w14:textFill>
        </w:rPr>
        <w:t>优化政策体系</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对原文第一条、第三条、第八条、第九条、第十条、第十二条内容进行修订。</w:t>
      </w:r>
    </w:p>
    <w:p>
      <w:pPr>
        <w:keepNext w:val="0"/>
        <w:keepLines w:val="0"/>
        <w:pageBreakBefore w:val="0"/>
        <w:numPr>
          <w:ilvl w:val="-1"/>
          <w:numId w:val="0"/>
        </w:numPr>
        <w:tabs>
          <w:tab w:val="left" w:pos="0"/>
        </w:tabs>
        <w:kinsoku/>
        <w:wordWrap/>
        <w:overflowPunct/>
        <w:topLinePunct w:val="0"/>
        <w:autoSpaceDE/>
        <w:autoSpaceDN/>
        <w:bidi w:val="0"/>
        <w:spacing w:line="560" w:lineRule="exact"/>
        <w:ind w:leftChars="0" w:firstLine="642" w:firstLineChars="200"/>
        <w:textAlignment w:val="auto"/>
        <w:outlineLvl w:val="1"/>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1.原文：</w:t>
      </w:r>
      <w:r>
        <w:rPr>
          <w:rFonts w:hint="eastAsia" w:ascii="仿宋_GB2312" w:hAnsi="仿宋_GB2312" w:eastAsia="仿宋_GB2312" w:cs="仿宋_GB2312"/>
          <w:b w:val="0"/>
          <w:bCs w:val="0"/>
          <w:color w:val="000000" w:themeColor="text1"/>
          <w:sz w:val="32"/>
          <w:szCs w:val="32"/>
          <w14:textFill>
            <w14:solidFill>
              <w14:schemeClr w14:val="tx1"/>
            </w14:solidFill>
          </w14:textFill>
        </w:rPr>
        <w:t>第一条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为抢抓粤港澳大湾区和深圳建设中国特色社会主义先行示范区“双区驱动”重大历史机遇，推动制造业高质量发展，全面促进新区经济科学发展，根据《深圳市人民政府印发关于推动制造业高质量发展坚定不移打造制造强市若干措施的通知》（深府规〔2021〕1号）、《深圳市人民政府关于印发深圳市市长质量奖管理办法的通知》（深府规〔2019〕5号）、《深圳市经济贸易和信息化委员会、深圳市财政委员会关于印发〈深圳市民营及中小企业发展专项资金管理办法〉的通知》（深经贸信息规〔2017〕8号）、《深圳市人民政府关于加快产业转型升级的指导意见》（深府〔2011〕165号）等相关规定，结合新区实际，制定本措施。</w:t>
      </w:r>
    </w:p>
    <w:p>
      <w:pPr>
        <w:keepNext w:val="0"/>
        <w:keepLines w:val="0"/>
        <w:pageBreakBefore w:val="0"/>
        <w:numPr>
          <w:ilvl w:val="-1"/>
          <w:numId w:val="0"/>
        </w:numPr>
        <w:tabs>
          <w:tab w:val="left" w:pos="0"/>
        </w:tabs>
        <w:kinsoku/>
        <w:wordWrap/>
        <w:overflowPunct/>
        <w:topLinePunct w:val="0"/>
        <w:autoSpaceDE/>
        <w:autoSpaceDN/>
        <w:bidi w:val="0"/>
        <w:spacing w:line="560" w:lineRule="exact"/>
        <w:ind w:leftChars="0" w:firstLine="642" w:firstLineChars="200"/>
        <w:textAlignment w:val="auto"/>
        <w:outlineLvl w:val="1"/>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修订后：</w:t>
      </w:r>
      <w:r>
        <w:rPr>
          <w:rFonts w:hint="eastAsia" w:ascii="仿宋_GB2312" w:hAnsi="仿宋_GB2312" w:eastAsia="仿宋_GB2312" w:cs="仿宋_GB2312"/>
          <w:b w:val="0"/>
          <w:bCs w:val="0"/>
          <w:color w:val="000000" w:themeColor="text1"/>
          <w:sz w:val="32"/>
          <w:szCs w:val="32"/>
          <w14:textFill>
            <w14:solidFill>
              <w14:schemeClr w14:val="tx1"/>
            </w14:solidFill>
          </w14:textFill>
        </w:rPr>
        <w:t>第一条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为抢抓粤港澳大湾区和深圳建设中国特色社会主义先行示范区“双区驱动”重大历史机遇，推动制造业高质量发展，全面促进新区经济科学发展，根据《深圳市人民政府印发关于推动制造业高质量发展坚定不移打造制造强市若干措施的通知》（深府规〔2021〕1号）、《深圳市人民政府关于印发深圳市市长质量奖管理办法的通知》（深府规〔2019〕5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深圳市人民政府关于加快培育壮大市场主体的实施意见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（深府〔20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sz w:val="32"/>
          <w:szCs w:val="32"/>
          <w:highlight w:val="none"/>
          <w14:textFill>
            <w14:solidFill>
              <w14:schemeClr w14:val="tx1"/>
            </w14:solidFill>
          </w14:textFill>
        </w:rPr>
        <w:t>号）等相关规定，结合新区实际，制定本措施。</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hint="default" w:ascii="仿宋_GB2312" w:eastAsia="仿宋_GB2312"/>
          <w:b w:val="0"/>
          <w:bCs/>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修订说明：</w:t>
      </w:r>
      <w:r>
        <w:rPr>
          <w:rFonts w:hint="default" w:ascii="仿宋_GB2312" w:eastAsia="仿宋_GB2312"/>
          <w:b w:val="0"/>
          <w:bCs/>
          <w:color w:val="000000" w:themeColor="text1"/>
          <w:sz w:val="32"/>
          <w:szCs w:val="32"/>
          <w14:textFill>
            <w14:solidFill>
              <w14:schemeClr w14:val="tx1"/>
            </w14:solidFill>
          </w14:textFill>
        </w:rPr>
        <w:t>根据深圳市新出台的政策措施，修改依据文件。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2" w:firstLineChars="200"/>
        <w:textAlignment w:val="auto"/>
        <w:outlineLvl w:val="1"/>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default" w:ascii="仿宋_GB2312" w:eastAsia="仿宋_GB2312"/>
          <w:b/>
          <w:bCs w:val="0"/>
          <w:color w:val="000000" w:themeColor="text1"/>
          <w:sz w:val="32"/>
          <w:szCs w:val="32"/>
          <w14:textFill>
            <w14:solidFill>
              <w14:schemeClr w14:val="tx1"/>
            </w14:solidFill>
          </w14:textFill>
        </w:rPr>
        <w:t>2</w:t>
      </w:r>
      <w:r>
        <w:rPr>
          <w:rFonts w:hint="eastAsia" w:ascii="仿宋_GB2312" w:eastAsia="仿宋_GB2312"/>
          <w:b/>
          <w:color w:val="000000" w:themeColor="text1"/>
          <w:sz w:val="32"/>
          <w:szCs w:val="32"/>
          <w14:textFill>
            <w14:solidFill>
              <w14:schemeClr w14:val="tx1"/>
            </w14:solidFill>
          </w14:textFill>
        </w:rPr>
        <w:t>.</w:t>
      </w:r>
      <w:r>
        <w:rPr>
          <w:rFonts w:hint="default" w:ascii="仿宋_GB2312" w:eastAsia="仿宋_GB2312"/>
          <w:b/>
          <w:bCs w:val="0"/>
          <w:color w:val="000000" w:themeColor="text1"/>
          <w:sz w:val="32"/>
          <w:szCs w:val="32"/>
          <w14:textFill>
            <w14:solidFill>
              <w14:schemeClr w14:val="tx1"/>
            </w14:solidFill>
          </w14:textFill>
        </w:rPr>
        <w:t>原文：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第三条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本措施的申报主体必须是注册地、统计地及纳税地均在大鹏新区，具有独立法人资格的工业企业、工业园区运营单位。</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default"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修订后：</w:t>
      </w:r>
      <w:r>
        <w:rPr>
          <w:rFonts w:hint="eastAsia" w:ascii="仿宋_GB2312" w:hAnsi="仿宋_GB2312" w:eastAsia="仿宋_GB2312" w:cs="仿宋_GB2312"/>
          <w:b w:val="0"/>
          <w:bCs w:val="0"/>
          <w:color w:val="000000" w:themeColor="text1"/>
          <w:sz w:val="32"/>
          <w:szCs w:val="32"/>
          <w14:textFill>
            <w14:solidFill>
              <w14:schemeClr w14:val="tx1"/>
            </w14:solidFill>
          </w14:textFill>
        </w:rPr>
        <w:t>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三条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14:textFill>
            <w14:solidFill>
              <w14:schemeClr w14:val="tx1"/>
            </w14:solidFill>
          </w14:textFill>
        </w:rPr>
        <w:t>本措施</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主要</w:t>
      </w:r>
      <w:r>
        <w:rPr>
          <w:rFonts w:hint="eastAsia" w:ascii="仿宋_GB2312" w:hAnsi="仿宋_GB2312" w:eastAsia="仿宋_GB2312" w:cs="仿宋_GB2312"/>
          <w:color w:val="000000" w:themeColor="text1"/>
          <w:sz w:val="32"/>
          <w:szCs w:val="32"/>
          <w14:textFill>
            <w14:solidFill>
              <w14:schemeClr w14:val="tx1"/>
            </w14:solidFill>
          </w14:textFill>
        </w:rPr>
        <w:t>聚焦“20+8”战略性新兴产</w:t>
      </w:r>
      <w:r>
        <w:rPr>
          <w:rFonts w:hint="default" w:ascii="仿宋_GB2312" w:eastAsia="仿宋_GB2312"/>
          <w:color w:val="000000" w:themeColor="text1"/>
          <w:sz w:val="32"/>
          <w:szCs w:val="32"/>
          <w14:textFill>
            <w14:solidFill>
              <w14:schemeClr w14:val="tx1"/>
            </w14:solidFill>
          </w14:textFill>
        </w:rPr>
        <w:t>业集群和未来产业，</w:t>
      </w:r>
      <w:r>
        <w:rPr>
          <w:rFonts w:hint="eastAsia" w:ascii="仿宋_GB2312" w:eastAsia="仿宋_GB2312"/>
          <w:color w:val="000000" w:themeColor="text1"/>
          <w:sz w:val="32"/>
          <w:szCs w:val="32"/>
          <w14:textFill>
            <w14:solidFill>
              <w14:schemeClr w14:val="tx1"/>
            </w14:solidFill>
          </w14:textFill>
        </w:rPr>
        <w:t>用于</w:t>
      </w:r>
      <w:r>
        <w:rPr>
          <w:rFonts w:hint="default" w:ascii="仿宋_GB2312" w:eastAsia="仿宋_GB2312"/>
          <w:color w:val="000000" w:themeColor="text1"/>
          <w:sz w:val="32"/>
          <w:szCs w:val="32"/>
          <w14:textFill>
            <w14:solidFill>
              <w14:schemeClr w14:val="tx1"/>
            </w14:solidFill>
          </w14:textFill>
        </w:rPr>
        <w:t>推动</w:t>
      </w:r>
      <w:r>
        <w:rPr>
          <w:rFonts w:hint="default" w:ascii="仿宋_GB2312" w:hAnsi="仿宋_GB2312" w:eastAsia="仿宋_GB2312" w:cs="仿宋_GB2312"/>
          <w:color w:val="000000" w:themeColor="text1"/>
          <w:sz w:val="32"/>
          <w:szCs w:val="32"/>
          <w:lang w:eastAsia="zh-CN"/>
          <w14:textFill>
            <w14:solidFill>
              <w14:schemeClr w14:val="tx1"/>
            </w14:solidFill>
          </w14:textFill>
        </w:rPr>
        <w:t>新区高质量发展，促进新区制造业稳步提升，重点支持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仿宋_GB2312" w:hAnsi="仿宋_GB2312" w:eastAsia="仿宋_GB2312" w:cs="仿宋_GB2312"/>
          <w:color w:val="000000" w:themeColor="text1"/>
          <w:sz w:val="32"/>
          <w:szCs w:val="32"/>
          <w:lang w:eastAsia="zh-CN"/>
          <w14:textFill>
            <w14:solidFill>
              <w14:schemeClr w14:val="tx1"/>
            </w14:solidFill>
          </w14:textFill>
        </w:rPr>
        <w:t>专精特新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仿宋_GB2312" w:hAnsi="仿宋_GB2312" w:eastAsia="仿宋_GB2312" w:cs="仿宋_GB2312"/>
          <w:color w:val="000000" w:themeColor="text1"/>
          <w:sz w:val="32"/>
          <w:szCs w:val="32"/>
          <w:lang w:eastAsia="zh-CN"/>
          <w14:textFill>
            <w14:solidFill>
              <w14:schemeClr w14:val="tx1"/>
            </w14:solidFill>
          </w14:textFill>
        </w:rPr>
        <w:t>等新区企业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pacing w:line="560" w:lineRule="exact"/>
        <w:ind w:firstLine="642" w:firstLineChars="200"/>
        <w:textAlignment w:val="auto"/>
        <w:rPr>
          <w:rFonts w:hint="default" w:ascii="仿宋_GB2312" w:eastAsia="仿宋_GB2312"/>
          <w:b/>
          <w:color w:val="000000" w:themeColor="text1"/>
          <w:sz w:val="32"/>
          <w:szCs w:val="32"/>
          <w:lang w:val="en-US"/>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修订说明：</w:t>
      </w:r>
      <w:r>
        <w:rPr>
          <w:rFonts w:hint="default" w:ascii="仿宋_GB2312" w:hAnsi="Times New Roman" w:eastAsia="仿宋_GB2312" w:cs="Times New Roman"/>
          <w:b w:val="0"/>
          <w:bCs/>
          <w:color w:val="000000" w:themeColor="text1"/>
          <w:sz w:val="32"/>
          <w:szCs w:val="32"/>
          <w14:textFill>
            <w14:solidFill>
              <w14:schemeClr w14:val="tx1"/>
            </w14:solidFill>
          </w14:textFill>
        </w:rPr>
        <w:t>按照《大鹏新区公平竞争审查联席会议办公室关于整改涉嫌违反公平竞争审查标准政策措施文件的函》提出的整改意见进行修改。</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eastAsia="仿宋_GB2312"/>
          <w:b/>
          <w:color w:val="000000" w:themeColor="text1"/>
          <w:sz w:val="32"/>
          <w:szCs w:val="32"/>
          <w:lang w:val="en-US" w:eastAsia="zh-CN"/>
          <w14:textFill>
            <w14:solidFill>
              <w14:schemeClr w14:val="tx1"/>
            </w14:solidFill>
          </w14:textFill>
        </w:rPr>
        <w:t>3.</w:t>
      </w:r>
      <w:r>
        <w:rPr>
          <w:rFonts w:hint="default" w:ascii="仿宋_GB2312" w:eastAsia="仿宋_GB2312"/>
          <w:b/>
          <w:bCs w:val="0"/>
          <w:color w:val="000000" w:themeColor="text1"/>
          <w:sz w:val="32"/>
          <w:szCs w:val="32"/>
          <w14:textFill>
            <w14:solidFill>
              <w14:schemeClr w14:val="tx1"/>
            </w14:solidFill>
          </w14:textFill>
        </w:rPr>
        <w:t>原文：</w:t>
      </w:r>
      <w:r>
        <w:rPr>
          <w:rFonts w:hint="eastAsia" w:ascii="仿宋_GB2312" w:hAnsi="仿宋_GB2312" w:eastAsia="仿宋_GB2312" w:cs="仿宋_GB2312"/>
          <w:b w:val="0"/>
          <w:bCs w:val="0"/>
          <w:color w:val="000000" w:themeColor="text1"/>
          <w:sz w:val="32"/>
          <w:szCs w:val="32"/>
          <w14:textFill>
            <w14:solidFill>
              <w14:schemeClr w14:val="tx1"/>
            </w14:solidFill>
          </w14:textFill>
        </w:rPr>
        <w:t>第</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val="0"/>
          <w:bCs w:val="0"/>
          <w:color w:val="000000" w:themeColor="text1"/>
          <w:sz w:val="32"/>
          <w:szCs w:val="32"/>
          <w14:textFill>
            <w14:solidFill>
              <w14:schemeClr w14:val="tx1"/>
            </w14:solidFill>
          </w14:textFill>
        </w:rPr>
        <w:t>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培育百强企业</w:t>
      </w:r>
      <w:r>
        <w:rPr>
          <w:rFonts w:hint="default" w:ascii="仿宋_GB2312" w:hAnsi="仿宋_GB2312" w:eastAsia="仿宋_GB2312" w:cs="仿宋_GB2312"/>
          <w:color w:val="000000" w:themeColor="text1"/>
          <w:sz w:val="32"/>
          <w:szCs w:val="32"/>
          <w:highlight w:val="none"/>
          <w14:textFill>
            <w14:solidFill>
              <w14:schemeClr w14:val="tx1"/>
            </w14:solidFill>
          </w14:textFill>
        </w:rPr>
        <w:t>。自2021年起</w:t>
      </w:r>
      <w:r>
        <w:rPr>
          <w:rFonts w:hint="eastAsia" w:ascii="仿宋_GB2312" w:hAnsi="仿宋_GB2312" w:eastAsia="仿宋_GB2312" w:cs="仿宋_GB2312"/>
          <w:color w:val="000000" w:themeColor="text1"/>
          <w:sz w:val="32"/>
          <w:szCs w:val="32"/>
          <w:highlight w:val="none"/>
          <w14:textFill>
            <w14:solidFill>
              <w14:schemeClr w14:val="tx1"/>
            </w14:solidFill>
          </w14:textFill>
        </w:rPr>
        <w:t>首次入选“世界500强”“中国制造业500强”“深圳工业百强”的工业企业，分别给予1000万元、500万元、100万元的一次性奖励。同一企业获不同级别的，按照“从高不重复”原则给予奖励。对获得奖励后获评更高级别的，按相应奖励标准追加差额奖励。</w:t>
      </w:r>
    </w:p>
    <w:p>
      <w:pPr>
        <w:keepNext w:val="0"/>
        <w:keepLines w:val="0"/>
        <w:pageBreakBefore w:val="0"/>
        <w:numPr>
          <w:ilvl w:val="-1"/>
          <w:numId w:val="0"/>
        </w:numPr>
        <w:tabs>
          <w:tab w:val="left" w:pos="0"/>
        </w:tabs>
        <w:kinsoku/>
        <w:wordWrap/>
        <w:overflowPunct/>
        <w:topLinePunct w:val="0"/>
        <w:autoSpaceDE/>
        <w:autoSpaceDN/>
        <w:bidi w:val="0"/>
        <w:spacing w:line="560" w:lineRule="exact"/>
        <w:ind w:leftChars="0" w:firstLine="642" w:firstLineChars="200"/>
        <w:textAlignment w:val="auto"/>
        <w:outlineLvl w:val="1"/>
        <w:rPr>
          <w:rFonts w:ascii="仿宋_GB2312" w:hAnsi="仿宋_GB2312" w:cs="仿宋_GB2312"/>
          <w:color w:val="000000" w:themeColor="text1"/>
          <w:sz w:val="32"/>
          <w:szCs w:val="32"/>
          <w:highlight w:val="none"/>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修订后：</w:t>
      </w:r>
      <w:r>
        <w:rPr>
          <w:rFonts w:hint="eastAsia" w:ascii="仿宋_GB2312" w:hAnsi="仿宋_GB2312" w:eastAsia="仿宋_GB2312" w:cs="仿宋_GB2312"/>
          <w:b w:val="0"/>
          <w:bCs w:val="0"/>
          <w:color w:val="000000" w:themeColor="text1"/>
          <w:sz w:val="32"/>
          <w:szCs w:val="32"/>
          <w14:textFill>
            <w14:solidFill>
              <w14:schemeClr w14:val="tx1"/>
            </w14:solidFill>
          </w14:textFill>
        </w:rPr>
        <w:t>第</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val="0"/>
          <w:bCs w:val="0"/>
          <w:color w:val="000000" w:themeColor="text1"/>
          <w:sz w:val="32"/>
          <w:szCs w:val="32"/>
          <w14:textFill>
            <w14:solidFill>
              <w14:schemeClr w14:val="tx1"/>
            </w14:solidFill>
          </w14:textFill>
        </w:rPr>
        <w:t>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培育百强企业</w:t>
      </w:r>
      <w:r>
        <w:rPr>
          <w:rFonts w:hint="default" w:ascii="仿宋_GB2312" w:hAnsi="仿宋_GB2312" w:eastAsia="仿宋_GB2312" w:cs="仿宋_GB2312"/>
          <w:color w:val="000000" w:themeColor="text1"/>
          <w:sz w:val="32"/>
          <w:szCs w:val="32"/>
          <w:highlight w:val="none"/>
          <w14:textFill>
            <w14:solidFill>
              <w14:schemeClr w14:val="tx1"/>
            </w14:solidFill>
          </w14:textFill>
        </w:rPr>
        <w:t>。自2021年起</w:t>
      </w:r>
      <w:r>
        <w:rPr>
          <w:rFonts w:hint="eastAsia" w:ascii="仿宋_GB2312" w:hAnsi="仿宋_GB2312" w:eastAsia="仿宋_GB2312" w:cs="仿宋_GB2312"/>
          <w:color w:val="000000" w:themeColor="text1"/>
          <w:sz w:val="32"/>
          <w:szCs w:val="32"/>
          <w:highlight w:val="none"/>
          <w14:textFill>
            <w14:solidFill>
              <w14:schemeClr w14:val="tx1"/>
            </w14:solidFill>
          </w14:textFill>
        </w:rPr>
        <w:t>首次入选“世界500强”“中国制造业500强”“深圳工业百强”的工业企业，分别给予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000万元、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00万元、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00万元的一次性奖励。同一企业获不同级别的，按照“从高不重复”原则给予奖励。对获得奖励后获评更高级别的，按相应奖励标准追加差额奖励。</w:t>
      </w:r>
    </w:p>
    <w:p>
      <w:pPr>
        <w:keepNext w:val="0"/>
        <w:keepLines w:val="0"/>
        <w:pageBreakBefore w:val="0"/>
        <w:numPr>
          <w:ilvl w:val="0"/>
          <w:numId w:val="0"/>
        </w:numPr>
        <w:kinsoku/>
        <w:wordWrap/>
        <w:overflowPunct/>
        <w:topLinePunct w:val="0"/>
        <w:autoSpaceDE/>
        <w:autoSpaceDN/>
        <w:bidi w:val="0"/>
        <w:adjustRightInd/>
        <w:spacing w:line="560" w:lineRule="exact"/>
        <w:ind w:firstLine="642" w:firstLineChars="200"/>
        <w:textAlignment w:val="auto"/>
        <w:rPr>
          <w:rFonts w:hint="default" w:ascii="仿宋_GB2312" w:eastAsia="仿宋_GB2312"/>
          <w:b w:val="0"/>
          <w:bCs/>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修订说明：</w:t>
      </w:r>
      <w:r>
        <w:rPr>
          <w:rFonts w:hint="eastAsia" w:ascii="仿宋_GB2312" w:eastAsia="仿宋_GB2312"/>
          <w:b w:val="0"/>
          <w:bCs/>
          <w:color w:val="000000" w:themeColor="text1"/>
          <w:sz w:val="32"/>
          <w:szCs w:val="32"/>
          <w:lang w:eastAsia="zh-CN"/>
          <w14:textFill>
            <w14:solidFill>
              <w14:schemeClr w14:val="tx1"/>
            </w14:solidFill>
          </w14:textFill>
        </w:rPr>
        <w:t>参考市级及相关周边区的扶持政策，适当提高奖励金额</w:t>
      </w:r>
      <w:r>
        <w:rPr>
          <w:rFonts w:hint="default" w:ascii="仿宋_GB2312" w:eastAsia="仿宋_GB2312"/>
          <w:b w:val="0"/>
          <w:bCs/>
          <w:color w:val="000000" w:themeColor="text1"/>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2" w:firstLineChars="200"/>
        <w:textAlignment w:val="auto"/>
        <w:rPr>
          <w:rFonts w:hint="eastAsia" w:ascii="仿宋_GB2312" w:hAnsi="Times New Roman" w:eastAsia="仿宋_GB2312" w:cs="Times New Roman"/>
          <w:b w:val="0"/>
          <w:bCs/>
          <w:color w:val="000000" w:themeColor="text1"/>
          <w:sz w:val="32"/>
          <w:szCs w:val="32"/>
          <w:lang w:val="en-US" w:eastAsia="zh-CN"/>
          <w14:textFill>
            <w14:solidFill>
              <w14:schemeClr w14:val="tx1"/>
            </w14:solidFill>
          </w14:textFill>
        </w:rPr>
      </w:pPr>
      <w:r>
        <w:rPr>
          <w:rFonts w:hint="default" w:ascii="仿宋_GB2312" w:hAnsi="Times New Roman" w:eastAsia="仿宋_GB2312" w:cs="Times New Roman"/>
          <w:b/>
          <w:color w:val="000000" w:themeColor="text1"/>
          <w:sz w:val="32"/>
          <w:szCs w:val="32"/>
          <w14:textFill>
            <w14:solidFill>
              <w14:schemeClr w14:val="tx1"/>
            </w14:solidFill>
          </w14:textFill>
        </w:rPr>
        <w:t>参考依据：</w:t>
      </w:r>
      <w:r>
        <w:rPr>
          <w:rFonts w:hint="default" w:ascii="仿宋_GB2312" w:hAnsi="Times New Roman" w:eastAsia="仿宋_GB2312" w:cs="Times New Roman"/>
          <w:b w:val="0"/>
          <w:bCs/>
          <w:color w:val="000000" w:themeColor="text1"/>
          <w:sz w:val="32"/>
          <w:szCs w:val="32"/>
          <w14:textFill>
            <w14:solidFill>
              <w14:schemeClr w14:val="tx1"/>
            </w14:solidFill>
          </w14:textFill>
        </w:rPr>
        <w:t>《</w:t>
      </w:r>
      <w:r>
        <w:rPr>
          <w:rFonts w:hint="eastAsia" w:ascii="仿宋_GB2312" w:hAnsi="Times New Roman" w:eastAsia="仿宋_GB2312" w:cs="Times New Roman"/>
          <w:b w:val="0"/>
          <w:bCs/>
          <w:color w:val="000000" w:themeColor="text1"/>
          <w:sz w:val="32"/>
          <w:szCs w:val="32"/>
          <w:lang w:eastAsia="zh-CN"/>
          <w14:textFill>
            <w14:solidFill>
              <w14:schemeClr w14:val="tx1"/>
            </w14:solidFill>
          </w14:textFill>
        </w:rPr>
        <w:t>关于支持企业提升竞争力的若干措施》（</w:t>
      </w:r>
      <w:r>
        <w:rPr>
          <w:rFonts w:hint="eastAsia" w:ascii="仿宋_GB2312" w:hAnsi="仿宋_GB2312" w:eastAsia="仿宋_GB2312" w:cs="仿宋_GB2312"/>
          <w:color w:val="000000" w:themeColor="text1"/>
          <w:sz w:val="32"/>
          <w:szCs w:val="32"/>
          <w:highlight w:val="none"/>
          <w14:textFill>
            <w14:solidFill>
              <w14:schemeClr w14:val="tx1"/>
            </w14:solidFill>
          </w14:textFill>
        </w:rPr>
        <w:t>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发</w:t>
      </w:r>
      <w:r>
        <w:rPr>
          <w:rFonts w:hint="eastAsia" w:ascii="仿宋_GB2312" w:hAnsi="仿宋_GB2312" w:eastAsia="仿宋_GB2312" w:cs="仿宋_GB2312"/>
          <w:color w:val="000000" w:themeColor="text1"/>
          <w:sz w:val="32"/>
          <w:szCs w:val="32"/>
          <w:highlight w:val="none"/>
          <w14:textFill>
            <w14:solidFill>
              <w14:schemeClr w14:val="tx1"/>
            </w14:solidFill>
          </w14:textFill>
        </w:rPr>
        <w:t>〔20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highlight w:val="none"/>
          <w14:textFill>
            <w14:solidFill>
              <w14:schemeClr w14:val="tx1"/>
            </w14:solidFill>
          </w14:textFill>
        </w:rPr>
        <w:t>号</w:t>
      </w:r>
      <w:r>
        <w:rPr>
          <w:rFonts w:hint="eastAsia" w:ascii="仿宋_GB2312" w:hAnsi="Times New Roman" w:eastAsia="仿宋_GB2312" w:cs="Times New Roman"/>
          <w:b w:val="0"/>
          <w:bCs/>
          <w:color w:val="000000" w:themeColor="text1"/>
          <w:sz w:val="32"/>
          <w:szCs w:val="32"/>
          <w:lang w:eastAsia="zh-CN"/>
          <w14:textFill>
            <w14:solidFill>
              <w14:schemeClr w14:val="tx1"/>
            </w14:solidFill>
          </w14:textFill>
        </w:rPr>
        <w:t>）第三条：</w:t>
      </w:r>
      <w:r>
        <w:rPr>
          <w:rFonts w:hint="eastAsia" w:ascii="仿宋_GB2312" w:hAnsi="Times New Roman" w:eastAsia="仿宋_GB2312" w:cs="Times New Roman"/>
          <w:b w:val="0"/>
          <w:bCs/>
          <w:color w:val="000000" w:themeColor="text1"/>
          <w:sz w:val="32"/>
          <w:szCs w:val="32"/>
          <w:lang w:val="en-US" w:eastAsia="zh-CN"/>
          <w14:textFill>
            <w14:solidFill>
              <w14:schemeClr w14:val="tx1"/>
            </w14:solidFill>
          </w14:textFill>
        </w:rPr>
        <w:t>对首次入选“世界500强”企业给予3000万元奖励，对首次入选“中国500强”的企业给予1000万元奖励。</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b w:val="0"/>
          <w:bCs/>
          <w:color w:val="000000" w:themeColor="text1"/>
          <w:kern w:val="2"/>
          <w:sz w:val="32"/>
          <w:szCs w:val="32"/>
          <w:lang w:val="en-US" w:eastAsia="zh-CN" w:bidi="ar-SA"/>
          <w14:textFill>
            <w14:solidFill>
              <w14:schemeClr w14:val="tx1"/>
            </w14:solidFill>
          </w14:textFill>
        </w:rPr>
        <w:t>《深圳市坪山区制造业高质量发展资金支持措施》（深坪府办规〔</w:t>
      </w:r>
      <w:r>
        <w:rPr>
          <w:rFonts w:hint="default" w:ascii="仿宋_GB2312" w:hAnsi="Times New Roman" w:eastAsia="仿宋_GB2312" w:cs="Times New Roman"/>
          <w:b w:val="0"/>
          <w:bCs/>
          <w:color w:val="000000" w:themeColor="text1"/>
          <w:kern w:val="2"/>
          <w:sz w:val="32"/>
          <w:szCs w:val="32"/>
          <w:lang w:val="en-US" w:eastAsia="zh-CN" w:bidi="ar-SA"/>
          <w14:textFill>
            <w14:solidFill>
              <w14:schemeClr w14:val="tx1"/>
            </w14:solidFill>
          </w14:textFill>
        </w:rPr>
        <w:t>2021〕2号</w:t>
      </w:r>
      <w:r>
        <w:rPr>
          <w:rFonts w:hint="eastAsia" w:ascii="仿宋_GB2312" w:hAnsi="Times New Roman" w:eastAsia="仿宋_GB2312" w:cs="Times New Roman"/>
          <w:b w:val="0"/>
          <w:bCs/>
          <w:color w:val="000000" w:themeColor="text1"/>
          <w:kern w:val="2"/>
          <w:sz w:val="32"/>
          <w:szCs w:val="32"/>
          <w:lang w:val="en-US" w:eastAsia="zh-CN" w:bidi="ar-SA"/>
          <w14:textFill>
            <w14:solidFill>
              <w14:schemeClr w14:val="tx1"/>
            </w14:solidFill>
          </w14:textFill>
        </w:rPr>
        <w:t>）第六条第一款：对首次入选“世界500强”的企业给予一次性1亿元奖励，首次入选“中国500强”的企业给予一次性2000万元奖励；首次入选“中国制</w:t>
      </w:r>
      <w:bookmarkStart w:id="5" w:name="_GoBack"/>
      <w:bookmarkEnd w:id="5"/>
      <w:r>
        <w:rPr>
          <w:rFonts w:hint="eastAsia" w:ascii="仿宋_GB2312" w:hAnsi="Times New Roman" w:eastAsia="仿宋_GB2312" w:cs="Times New Roman"/>
          <w:b w:val="0"/>
          <w:bCs/>
          <w:color w:val="000000" w:themeColor="text1"/>
          <w:kern w:val="2"/>
          <w:sz w:val="32"/>
          <w:szCs w:val="32"/>
          <w:lang w:val="en-US" w:eastAsia="zh-CN" w:bidi="ar-SA"/>
          <w14:textFill>
            <w14:solidFill>
              <w14:schemeClr w14:val="tx1"/>
            </w14:solidFill>
          </w14:textFill>
        </w:rPr>
        <w:t>造业企业500强”的企业给予一次性1000万元奖励，首次入选“深圳市企业500强”榜单前100名的企业给予一次性500万元奖励。同一企业同一年度获不同级别的，按照“从高不重复”原则给予奖励。对获得奖励后获评更高级别的，按相应标准追加差额奖励。</w:t>
      </w:r>
    </w:p>
    <w:p>
      <w:pPr>
        <w:keepNext w:val="0"/>
        <w:keepLines w:val="0"/>
        <w:pageBreakBefore w:val="0"/>
        <w:numPr>
          <w:ilvl w:val="-1"/>
          <w:numId w:val="0"/>
        </w:numPr>
        <w:tabs>
          <w:tab w:val="left" w:pos="0"/>
        </w:tabs>
        <w:kinsoku/>
        <w:wordWrap/>
        <w:overflowPunct/>
        <w:topLinePunct w:val="0"/>
        <w:autoSpaceDE/>
        <w:autoSpaceDN/>
        <w:bidi w:val="0"/>
        <w:spacing w:line="560" w:lineRule="exact"/>
        <w:ind w:leftChars="0" w:firstLine="642" w:firstLineChars="200"/>
        <w:textAlignment w:val="auto"/>
        <w:outlineLvl w:val="1"/>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b/>
          <w:bCs w:val="0"/>
          <w:color w:val="000000" w:themeColor="text1"/>
          <w:sz w:val="32"/>
          <w:szCs w:val="32"/>
          <w:lang w:val="en-US" w:eastAsia="zh-CN"/>
          <w14:textFill>
            <w14:solidFill>
              <w14:schemeClr w14:val="tx1"/>
            </w14:solidFill>
          </w14:textFill>
        </w:rPr>
        <w:t>4</w:t>
      </w:r>
      <w:r>
        <w:rPr>
          <w:rFonts w:hint="default" w:ascii="仿宋_GB2312" w:eastAsia="仿宋_GB2312"/>
          <w:b/>
          <w:bCs w:val="0"/>
          <w:color w:val="000000" w:themeColor="text1"/>
          <w:sz w:val="32"/>
          <w:szCs w:val="32"/>
          <w14:textFill>
            <w14:solidFill>
              <w14:schemeClr w14:val="tx1"/>
            </w14:solidFill>
          </w14:textFill>
        </w:rPr>
        <w:t>.原文：</w:t>
      </w:r>
      <w:r>
        <w:rPr>
          <w:rFonts w:hint="eastAsia" w:ascii="仿宋_GB2312" w:hAnsi="仿宋_GB2312" w:eastAsia="仿宋_GB2312" w:cs="仿宋_GB2312"/>
          <w:b w:val="0"/>
          <w:bCs w:val="0"/>
          <w:color w:val="000000" w:themeColor="text1"/>
          <w:sz w:val="32"/>
          <w:szCs w:val="32"/>
          <w14:textFill>
            <w14:solidFill>
              <w14:schemeClr w14:val="tx1"/>
            </w14:solidFill>
          </w14:textFill>
        </w:rPr>
        <w:t>第</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b w:val="0"/>
          <w:bCs w:val="0"/>
          <w:color w:val="000000" w:themeColor="text1"/>
          <w:sz w:val="32"/>
          <w:szCs w:val="32"/>
          <w14:textFill>
            <w14:solidFill>
              <w14:schemeClr w14:val="tx1"/>
            </w14:solidFill>
          </w14:textFill>
        </w:rPr>
        <w:t>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培育制造业“单项冠军”</w:t>
      </w:r>
      <w:r>
        <w:rPr>
          <w:rFonts w:hint="default"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对获得国家“单项冠军”示范企业、“单项冠军”产品称号、国家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级</w:t>
      </w:r>
      <w:r>
        <w:rPr>
          <w:rFonts w:hint="eastAsia" w:ascii="仿宋_GB2312" w:hAnsi="仿宋_GB2312" w:eastAsia="仿宋_GB2312" w:cs="仿宋_GB2312"/>
          <w:color w:val="000000" w:themeColor="text1"/>
          <w:sz w:val="32"/>
          <w:szCs w:val="32"/>
          <w:highlight w:val="none"/>
          <w14:textFill>
            <w14:solidFill>
              <w14:schemeClr w14:val="tx1"/>
            </w14:solidFill>
          </w14:textFill>
        </w:rPr>
        <w:t>专精特新“小巨人”企业、省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级“</w:t>
      </w:r>
      <w:r>
        <w:rPr>
          <w:rFonts w:hint="eastAsia" w:ascii="仿宋_GB2312" w:hAnsi="仿宋_GB2312" w:eastAsia="仿宋_GB2312" w:cs="仿宋_GB2312"/>
          <w:color w:val="000000" w:themeColor="text1"/>
          <w:sz w:val="32"/>
          <w:szCs w:val="32"/>
          <w:highlight w:val="none"/>
          <w14:textFill>
            <w14:solidFill>
              <w14:schemeClr w14:val="tx1"/>
            </w14:solidFill>
          </w14:textFill>
        </w:rPr>
        <w:t>专精特新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企业的制造业企业，分别按市级奖励金额的50%给予一次性配套奖励。</w:t>
      </w:r>
    </w:p>
    <w:p>
      <w:pPr>
        <w:keepNext w:val="0"/>
        <w:keepLines w:val="0"/>
        <w:pageBreakBefore w:val="0"/>
        <w:numPr>
          <w:ilvl w:val="-1"/>
          <w:numId w:val="0"/>
        </w:numPr>
        <w:tabs>
          <w:tab w:val="left" w:pos="0"/>
        </w:tabs>
        <w:kinsoku/>
        <w:wordWrap/>
        <w:overflowPunct/>
        <w:topLinePunct w:val="0"/>
        <w:autoSpaceDE/>
        <w:autoSpaceDN/>
        <w:bidi w:val="0"/>
        <w:spacing w:line="560" w:lineRule="exact"/>
        <w:ind w:leftChars="0" w:firstLine="642" w:firstLineChars="200"/>
        <w:textAlignment w:val="auto"/>
        <w:outlineLvl w:val="1"/>
        <w:rPr>
          <w:rFonts w:ascii="仿宋_GB2312" w:hAnsi="仿宋_GB2312" w:cs="仿宋_GB2312"/>
          <w:color w:val="000000" w:themeColor="text1"/>
          <w:sz w:val="32"/>
          <w:szCs w:val="32"/>
          <w:highlight w:val="none"/>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修订后：</w:t>
      </w:r>
      <w:r>
        <w:rPr>
          <w:rFonts w:hint="eastAsia" w:ascii="仿宋_GB2312" w:hAnsi="仿宋_GB2312" w:eastAsia="仿宋_GB2312" w:cs="仿宋_GB2312"/>
          <w:b w:val="0"/>
          <w:bCs w:val="0"/>
          <w:color w:val="000000" w:themeColor="text1"/>
          <w:sz w:val="32"/>
          <w:szCs w:val="32"/>
          <w14:textFill>
            <w14:solidFill>
              <w14:schemeClr w14:val="tx1"/>
            </w14:solidFill>
          </w14:textFill>
        </w:rPr>
        <w:t>第</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val="0"/>
          <w:bCs w:val="0"/>
          <w:color w:val="000000" w:themeColor="text1"/>
          <w:sz w:val="32"/>
          <w:szCs w:val="32"/>
          <w14:textFill>
            <w14:solidFill>
              <w14:schemeClr w14:val="tx1"/>
            </w14:solidFill>
          </w14:textFill>
        </w:rPr>
        <w:t>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培育制造业“单项冠军”</w:t>
      </w:r>
      <w:r>
        <w:rPr>
          <w:rFonts w:hint="default"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首次</w:t>
      </w:r>
      <w:r>
        <w:rPr>
          <w:rFonts w:hint="eastAsia" w:ascii="仿宋_GB2312" w:hAnsi="仿宋_GB2312" w:eastAsia="仿宋_GB2312" w:cs="仿宋_GB2312"/>
          <w:color w:val="000000" w:themeColor="text1"/>
          <w:sz w:val="32"/>
          <w:szCs w:val="32"/>
          <w:highlight w:val="none"/>
          <w14:textFill>
            <w14:solidFill>
              <w14:schemeClr w14:val="tx1"/>
            </w14:solidFill>
          </w14:textFill>
        </w:rPr>
        <w:t>获得国家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级</w:t>
      </w:r>
      <w:r>
        <w:rPr>
          <w:rFonts w:hint="eastAsia" w:ascii="仿宋_GB2312" w:hAnsi="仿宋_GB2312" w:eastAsia="仿宋_GB2312" w:cs="仿宋_GB2312"/>
          <w:color w:val="000000" w:themeColor="text1"/>
          <w:sz w:val="32"/>
          <w:szCs w:val="32"/>
          <w:highlight w:val="none"/>
          <w14:textFill>
            <w14:solidFill>
              <w14:schemeClr w14:val="tx1"/>
            </w14:solidFill>
          </w14:textFill>
        </w:rPr>
        <w:t>“单项冠军”示范企业、“单项冠军”产品称号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的企业，以及市级“单项冠军”示范企业、“单项冠军”产品称号的企业，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分别按市级奖励金额的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0%给予一次性配套奖励。同一企业获不同级别的，按照“从高不重复”原则给予奖励。对获得奖励后获评更高级别的，按相应奖励标准追加差额奖励。</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Times New Roman" w:eastAsia="仿宋_GB2312" w:cs="Times New Roman"/>
          <w:b w:val="0"/>
          <w:bCs/>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引导企业“专精特新”发展。对首次入选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国家级</w:t>
      </w:r>
      <w:r>
        <w:rPr>
          <w:rFonts w:hint="eastAsia" w:ascii="仿宋_GB2312" w:hAnsi="仿宋_GB2312" w:eastAsia="仿宋_GB2312" w:cs="仿宋_GB2312"/>
          <w:color w:val="000000" w:themeColor="text1"/>
          <w:sz w:val="32"/>
          <w:szCs w:val="32"/>
          <w:highlight w:val="none"/>
          <w14:textFill>
            <w14:solidFill>
              <w14:schemeClr w14:val="tx1"/>
            </w14:solidFill>
          </w14:textFill>
        </w:rPr>
        <w:t>专精特新“小巨人”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及</w:t>
      </w:r>
      <w:r>
        <w:rPr>
          <w:rFonts w:hint="eastAsia" w:ascii="仿宋_GB2312" w:hAnsi="仿宋_GB2312" w:eastAsia="仿宋_GB2312" w:cs="仿宋_GB2312"/>
          <w:color w:val="000000" w:themeColor="text1"/>
          <w:sz w:val="32"/>
          <w:szCs w:val="32"/>
          <w:highlight w:val="none"/>
          <w14:textFill>
            <w14:solidFill>
              <w14:schemeClr w14:val="tx1"/>
            </w14:solidFill>
          </w14:textFill>
        </w:rPr>
        <w:t>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14:textFill>
            <w14:solidFill>
              <w14:schemeClr w14:val="tx1"/>
            </w14:solidFill>
          </w14:textFill>
        </w:rPr>
        <w:t>专精特新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的企业，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按市级奖励金额给予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1:1配套奖励，最高分别不超过50万元、20万元、10万元。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同一企业获不同级别的，按照“从高不重复”原则给予奖励。对获得奖励后获评更高级别的，按相应奖励标准追加差额奖励。</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2" w:firstLineChars="200"/>
        <w:textAlignment w:val="auto"/>
        <w:rPr>
          <w:rFonts w:hint="eastAsia" w:ascii="仿宋_GB2312" w:eastAsia="仿宋_GB2312"/>
          <w:b w:val="0"/>
          <w:bCs/>
          <w:color w:val="000000" w:themeColor="text1"/>
          <w:sz w:val="32"/>
          <w:szCs w:val="32"/>
          <w:lang w:eastAsia="zh-CN"/>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修订说明：</w:t>
      </w:r>
      <w:r>
        <w:rPr>
          <w:rFonts w:hint="eastAsia" w:ascii="仿宋_GB2312" w:eastAsia="仿宋_GB2312"/>
          <w:b w:val="0"/>
          <w:bCs/>
          <w:color w:val="000000" w:themeColor="text1"/>
          <w:sz w:val="32"/>
          <w:szCs w:val="32"/>
          <w:lang w:eastAsia="zh-CN"/>
          <w14:textFill>
            <w14:solidFill>
              <w14:schemeClr w14:val="tx1"/>
            </w14:solidFill>
          </w14:textFill>
        </w:rPr>
        <w:t>对政策进行了完善和细分，并适当提高奖励金额。</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2" w:firstLineChars="200"/>
        <w:textAlignment w:val="auto"/>
        <w:rPr>
          <w:rFonts w:hint="eastAsia" w:ascii="仿宋_GB2312" w:hAnsi="Times New Roman" w:eastAsia="仿宋_GB2312" w:cs="Times New Roman"/>
          <w:b w:val="0"/>
          <w:bCs/>
          <w:color w:val="000000" w:themeColor="text1"/>
          <w:kern w:val="2"/>
          <w:sz w:val="32"/>
          <w:szCs w:val="32"/>
          <w:lang w:val="en-US" w:eastAsia="zh-CN" w:bidi="ar-SA"/>
          <w14:textFill>
            <w14:solidFill>
              <w14:schemeClr w14:val="tx1"/>
            </w14:solidFill>
          </w14:textFill>
        </w:rPr>
      </w:pPr>
      <w:r>
        <w:rPr>
          <w:rFonts w:hint="default" w:ascii="仿宋_GB2312" w:eastAsia="仿宋_GB2312"/>
          <w:b/>
          <w:bCs w:val="0"/>
          <w:color w:val="000000" w:themeColor="text1"/>
          <w:sz w:val="32"/>
          <w:szCs w:val="32"/>
          <w14:textFill>
            <w14:solidFill>
              <w14:schemeClr w14:val="tx1"/>
            </w14:solidFill>
          </w14:textFill>
        </w:rPr>
        <w:t>参考依据：</w:t>
      </w:r>
      <w:r>
        <w:rPr>
          <w:rFonts w:hint="eastAsia" w:ascii="仿宋_GB2312" w:eastAsia="仿宋_GB2312"/>
          <w:b w:val="0"/>
          <w:bCs/>
          <w:color w:val="000000" w:themeColor="text1"/>
          <w:sz w:val="32"/>
          <w:szCs w:val="32"/>
          <w:lang w:eastAsia="zh-CN"/>
          <w14:textFill>
            <w14:solidFill>
              <w14:schemeClr w14:val="tx1"/>
            </w14:solidFill>
          </w14:textFill>
        </w:rPr>
        <w:t>《</w:t>
      </w:r>
      <w:r>
        <w:rPr>
          <w:rFonts w:hint="eastAsia" w:ascii="仿宋_GB2312" w:eastAsia="仿宋_GB2312"/>
          <w:b w:val="0"/>
          <w:bCs/>
          <w:color w:val="000000" w:themeColor="text1"/>
          <w:sz w:val="32"/>
          <w:szCs w:val="32"/>
          <w:lang w:val="en-US" w:eastAsia="zh-CN"/>
          <w14:textFill>
            <w14:solidFill>
              <w14:schemeClr w14:val="tx1"/>
            </w14:solidFill>
          </w14:textFill>
        </w:rPr>
        <w:t>关于推动制造业高质量发展坚定不移打造制造强市的若干措施</w:t>
      </w:r>
      <w:r>
        <w:rPr>
          <w:rFonts w:hint="eastAsia" w:ascii="仿宋_GB2312" w:eastAsia="仿宋_GB2312"/>
          <w:b w:val="0"/>
          <w:bCs/>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b w:val="0"/>
          <w:bCs/>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深府规〔2021〕1号</w:t>
      </w:r>
      <w:r>
        <w:rPr>
          <w:rFonts w:hint="eastAsia" w:ascii="仿宋_GB2312" w:hAnsi="Times New Roman" w:eastAsia="仿宋_GB2312" w:cs="Times New Roman"/>
          <w:b w:val="0"/>
          <w:bCs/>
          <w:color w:val="000000" w:themeColor="text1"/>
          <w:kern w:val="2"/>
          <w:sz w:val="32"/>
          <w:szCs w:val="32"/>
          <w:lang w:val="en-US" w:eastAsia="zh-CN" w:bidi="ar-SA"/>
          <w14:textFill>
            <w14:solidFill>
              <w14:schemeClr w14:val="tx1"/>
            </w14:solidFill>
          </w14:textFill>
        </w:rPr>
        <w:t>）第三章第十三条：建立“单项冠军”企业培育库，对获得国家“单项冠军”示范企业和“单项冠军”产品称号的，分别给予300万元和200万元的一次性奖励；对获得市级“单项冠军企业”和“单项冠军产品”称号的，分别给予200万元和100万元的一次性奖励；对国家级专精特新“小巨人”企业，给予最高50万元奖励；对省级“专精特新”企业，给予最高20万元奖励。</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Times New Roman"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b w:val="0"/>
          <w:bCs/>
          <w:color w:val="000000" w:themeColor="text1"/>
          <w:kern w:val="2"/>
          <w:sz w:val="32"/>
          <w:szCs w:val="32"/>
          <w:lang w:val="en-US" w:eastAsia="zh-CN" w:bidi="ar-SA"/>
          <w14:textFill>
            <w14:solidFill>
              <w14:schemeClr w14:val="tx1"/>
            </w14:solidFill>
          </w14:textFill>
        </w:rPr>
        <w:t>《深圳市人民政府关于加快培育壮大市场主体的实施意见》（</w:t>
      </w:r>
      <w:r>
        <w:rPr>
          <w:rFonts w:hint="eastAsia" w:ascii="仿宋_GB2312" w:hAnsi="仿宋_GB2312" w:eastAsia="仿宋_GB2312" w:cs="仿宋_GB2312"/>
          <w:color w:val="000000" w:themeColor="text1"/>
          <w:sz w:val="32"/>
          <w:szCs w:val="32"/>
          <w:highlight w:val="none"/>
          <w14:textFill>
            <w14:solidFill>
              <w14:schemeClr w14:val="tx1"/>
            </w14:solidFill>
          </w14:textFill>
        </w:rPr>
        <w:t>深府〔202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32</w:t>
      </w:r>
      <w:r>
        <w:rPr>
          <w:rFonts w:hint="eastAsia" w:ascii="仿宋_GB2312" w:hAnsi="仿宋_GB2312" w:eastAsia="仿宋_GB2312" w:cs="仿宋_GB2312"/>
          <w:color w:val="000000" w:themeColor="text1"/>
          <w:sz w:val="32"/>
          <w:szCs w:val="32"/>
          <w:highlight w:val="none"/>
          <w14:textFill>
            <w14:solidFill>
              <w14:schemeClr w14:val="tx1"/>
            </w14:solidFill>
          </w14:textFill>
        </w:rPr>
        <w:t>号</w:t>
      </w:r>
      <w:r>
        <w:rPr>
          <w:rFonts w:hint="eastAsia" w:ascii="仿宋_GB2312" w:hAnsi="Times New Roman" w:eastAsia="仿宋_GB2312" w:cs="Times New Roman"/>
          <w:b w:val="0"/>
          <w:bCs/>
          <w:color w:val="000000" w:themeColor="text1"/>
          <w:kern w:val="2"/>
          <w:sz w:val="32"/>
          <w:szCs w:val="32"/>
          <w:lang w:val="en-US" w:eastAsia="zh-CN" w:bidi="ar-SA"/>
          <w14:textFill>
            <w14:solidFill>
              <w14:schemeClr w14:val="tx1"/>
            </w14:solidFill>
          </w14:textFill>
        </w:rPr>
        <w:t>）第十二条：对入选市级、省级、国家级的“专精特新”中小企业，最高奖励10万元、20万元、50万元。</w:t>
      </w:r>
    </w:p>
    <w:p>
      <w:pPr>
        <w:keepNext w:val="0"/>
        <w:keepLines w:val="0"/>
        <w:pageBreakBefore w:val="0"/>
        <w:numPr>
          <w:ilvl w:val="-1"/>
          <w:numId w:val="0"/>
        </w:numPr>
        <w:tabs>
          <w:tab w:val="left" w:pos="0"/>
        </w:tabs>
        <w:kinsoku/>
        <w:wordWrap/>
        <w:overflowPunct/>
        <w:topLinePunct w:val="0"/>
        <w:autoSpaceDE/>
        <w:autoSpaceDN/>
        <w:bidi w:val="0"/>
        <w:spacing w:line="560" w:lineRule="exact"/>
        <w:ind w:leftChars="0" w:firstLine="642" w:firstLineChars="200"/>
        <w:textAlignment w:val="auto"/>
        <w:outlineLvl w:val="1"/>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b/>
          <w:bCs w:val="0"/>
          <w:color w:val="000000" w:themeColor="text1"/>
          <w:sz w:val="32"/>
          <w:szCs w:val="32"/>
          <w:lang w:val="en-US" w:eastAsia="zh-CN"/>
          <w14:textFill>
            <w14:solidFill>
              <w14:schemeClr w14:val="tx1"/>
            </w14:solidFill>
          </w14:textFill>
        </w:rPr>
        <w:t>5.</w:t>
      </w:r>
      <w:r>
        <w:rPr>
          <w:rFonts w:hint="default" w:ascii="仿宋_GB2312" w:eastAsia="仿宋_GB2312"/>
          <w:b/>
          <w:bCs w:val="0"/>
          <w:color w:val="000000" w:themeColor="text1"/>
          <w:sz w:val="32"/>
          <w:szCs w:val="32"/>
          <w14:textFill>
            <w14:solidFill>
              <w14:schemeClr w14:val="tx1"/>
            </w14:solidFill>
          </w14:textFill>
        </w:rPr>
        <w:t>原文：</w:t>
      </w:r>
      <w:r>
        <w:rPr>
          <w:rFonts w:hint="eastAsia" w:ascii="仿宋_GB2312" w:hAnsi="仿宋_GB2312" w:eastAsia="仿宋_GB2312" w:cs="仿宋_GB2312"/>
          <w:b w:val="0"/>
          <w:bCs w:val="0"/>
          <w:color w:val="000000" w:themeColor="text1"/>
          <w:kern w:val="36"/>
          <w:sz w:val="32"/>
          <w:szCs w:val="32"/>
          <w14:textFill>
            <w14:solidFill>
              <w14:schemeClr w14:val="tx1"/>
            </w14:solidFill>
          </w14:textFill>
        </w:rPr>
        <w:t>第</w:t>
      </w:r>
      <w:r>
        <w:rPr>
          <w:rFonts w:hint="eastAsia" w:ascii="仿宋_GB2312" w:hAnsi="仿宋_GB2312" w:eastAsia="仿宋_GB2312" w:cs="仿宋_GB2312"/>
          <w:b w:val="0"/>
          <w:bCs w:val="0"/>
          <w:color w:val="000000" w:themeColor="text1"/>
          <w:kern w:val="36"/>
          <w:sz w:val="32"/>
          <w:szCs w:val="32"/>
          <w:lang w:eastAsia="zh-CN"/>
          <w14:textFill>
            <w14:solidFill>
              <w14:schemeClr w14:val="tx1"/>
            </w14:solidFill>
          </w14:textFill>
        </w:rPr>
        <w:t>十条</w:t>
      </w:r>
      <w:r>
        <w:rPr>
          <w:rFonts w:hint="eastAsia" w:ascii="仿宋_GB2312" w:hAnsi="仿宋_GB2312" w:eastAsia="仿宋_GB2312" w:cs="仿宋_GB2312"/>
          <w:b w:val="0"/>
          <w:bCs w:val="0"/>
          <w:color w:val="000000" w:themeColor="text1"/>
          <w:kern w:val="36"/>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支持企业稳健成长</w:t>
      </w:r>
      <w:r>
        <w:rPr>
          <w:rFonts w:hint="default"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对符合新区产业导向，</w:t>
      </w:r>
      <w:r>
        <w:rPr>
          <w:rFonts w:hint="default" w:ascii="仿宋_GB2312" w:hAnsi="仿宋_GB2312" w:eastAsia="仿宋_GB2312" w:cs="仿宋_GB2312"/>
          <w:color w:val="000000" w:themeColor="text1"/>
          <w:sz w:val="32"/>
          <w:szCs w:val="32"/>
          <w:highlight w:val="none"/>
          <w14:textFill>
            <w14:solidFill>
              <w14:schemeClr w14:val="tx1"/>
            </w14:solidFill>
          </w14:textFill>
        </w:rPr>
        <w:t>自2021年起年度</w:t>
      </w:r>
      <w:r>
        <w:rPr>
          <w:rFonts w:hint="eastAsia" w:ascii="仿宋_GB2312" w:hAnsi="仿宋_GB2312" w:eastAsia="仿宋_GB2312" w:cs="仿宋_GB2312"/>
          <w:color w:val="000000" w:themeColor="text1"/>
          <w:sz w:val="32"/>
          <w:szCs w:val="32"/>
          <w:highlight w:val="none"/>
          <w14:textFill>
            <w14:solidFill>
              <w14:schemeClr w14:val="tx1"/>
            </w14:solidFill>
          </w14:textFill>
        </w:rPr>
        <w:t>纳统工业总产值首次达到50亿元、20亿元、10亿元、2亿元的规模以上制造业企业，分别给予100万元、40万元、20万元、10万元的奖励，分两年拨付，首年给予一半奖励，如果第二年产值同比下降则取消剩余一半的奖励。</w:t>
      </w:r>
    </w:p>
    <w:p>
      <w:pPr>
        <w:keepNext w:val="0"/>
        <w:keepLines w:val="0"/>
        <w:pageBreakBefore w:val="0"/>
        <w:numPr>
          <w:ilvl w:val="-1"/>
          <w:numId w:val="0"/>
        </w:numPr>
        <w:tabs>
          <w:tab w:val="left" w:pos="0"/>
        </w:tabs>
        <w:kinsoku/>
        <w:wordWrap/>
        <w:overflowPunct/>
        <w:topLinePunct w:val="0"/>
        <w:autoSpaceDE/>
        <w:autoSpaceDN/>
        <w:bidi w:val="0"/>
        <w:spacing w:line="560" w:lineRule="exact"/>
        <w:ind w:leftChars="0" w:firstLine="642" w:firstLineChars="200"/>
        <w:textAlignment w:val="auto"/>
        <w:outlineLvl w:val="1"/>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修订后：</w:t>
      </w:r>
      <w:r>
        <w:rPr>
          <w:rFonts w:hint="eastAsia" w:ascii="仿宋_GB2312" w:eastAsia="仿宋_GB2312"/>
          <w:b w:val="0"/>
          <w:bCs/>
          <w:color w:val="000000" w:themeColor="text1"/>
          <w:sz w:val="32"/>
          <w:szCs w:val="32"/>
          <w:lang w:eastAsia="zh-CN"/>
          <w14:textFill>
            <w14:solidFill>
              <w14:schemeClr w14:val="tx1"/>
            </w14:solidFill>
          </w14:textFill>
        </w:rPr>
        <w:t>第十条</w:t>
      </w:r>
      <w:r>
        <w:rPr>
          <w:rFonts w:hint="eastAsia" w:ascii="仿宋_GB2312" w:eastAsia="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支持企业稳健成长</w:t>
      </w:r>
      <w:r>
        <w:rPr>
          <w:rFonts w:hint="default" w:ascii="仿宋_GB2312" w:hAnsi="仿宋_GB2312" w:eastAsia="仿宋_GB2312" w:cs="仿宋_GB2312"/>
          <w:color w:val="000000" w:themeColor="text1"/>
          <w:sz w:val="32"/>
          <w:szCs w:val="32"/>
          <w:highlight w:val="none"/>
          <w14:textFill>
            <w14:solidFill>
              <w14:schemeClr w14:val="tx1"/>
            </w14:solidFill>
          </w14:textFill>
        </w:rPr>
        <w:t>。自2021年起年度</w:t>
      </w:r>
      <w:r>
        <w:rPr>
          <w:rFonts w:hint="eastAsia" w:ascii="仿宋_GB2312" w:hAnsi="仿宋_GB2312" w:eastAsia="仿宋_GB2312" w:cs="仿宋_GB2312"/>
          <w:color w:val="000000" w:themeColor="text1"/>
          <w:sz w:val="32"/>
          <w:szCs w:val="32"/>
          <w:highlight w:val="none"/>
          <w14:textFill>
            <w14:solidFill>
              <w14:schemeClr w14:val="tx1"/>
            </w14:solidFill>
          </w14:textFill>
        </w:rPr>
        <w:t>纳统工业总产值首次达到50亿元、20亿元、10亿元、2亿元的规模以上制造业企业，分别给予100万元、40万元、20万元、10万元的奖励，分两年拨付，首年给予一半奖励，如果第二年产值同比下降则取消剩余一半的奖励。</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2" w:firstLineChars="200"/>
        <w:textAlignment w:val="auto"/>
        <w:rPr>
          <w:rFonts w:hint="default" w:ascii="仿宋_GB2312" w:eastAsia="仿宋_GB2312"/>
          <w:b w:val="0"/>
          <w:bCs/>
          <w:color w:val="000000" w:themeColor="text1"/>
          <w:sz w:val="32"/>
          <w:szCs w:val="32"/>
          <w:highlight w:val="none"/>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修订说明：</w:t>
      </w:r>
      <w:r>
        <w:rPr>
          <w:rFonts w:hint="eastAsia" w:ascii="仿宋_GB2312" w:eastAsia="仿宋_GB2312"/>
          <w:b w:val="0"/>
          <w:bCs/>
          <w:color w:val="000000" w:themeColor="text1"/>
          <w:sz w:val="32"/>
          <w:szCs w:val="32"/>
          <w:highlight w:val="none"/>
          <w:lang w:eastAsia="zh-CN"/>
          <w14:textFill>
            <w14:solidFill>
              <w14:schemeClr w14:val="tx1"/>
            </w14:solidFill>
          </w14:textFill>
        </w:rPr>
        <w:t>适当放宽申报条件，扩大政策覆盖面</w:t>
      </w:r>
      <w:r>
        <w:rPr>
          <w:rFonts w:hint="default" w:ascii="仿宋_GB2312" w:eastAsia="仿宋_GB2312"/>
          <w:b w:val="0"/>
          <w:bCs/>
          <w:color w:val="000000" w:themeColor="text1"/>
          <w:sz w:val="32"/>
          <w:szCs w:val="32"/>
          <w:highlight w:val="none"/>
          <w14:textFill>
            <w14:solidFill>
              <w14:schemeClr w14:val="tx1"/>
            </w14:solidFill>
          </w14:textFill>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firstLine="642" w:firstLineChars="200"/>
        <w:textAlignment w:val="auto"/>
        <w:outlineLvl w:val="1"/>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b/>
          <w:bCs w:val="0"/>
          <w:color w:val="000000" w:themeColor="text1"/>
          <w:sz w:val="32"/>
          <w:szCs w:val="32"/>
          <w:lang w:val="en-US" w:eastAsia="zh-CN"/>
          <w14:textFill>
            <w14:solidFill>
              <w14:schemeClr w14:val="tx1"/>
            </w14:solidFill>
          </w14:textFill>
        </w:rPr>
        <w:t>6.</w:t>
      </w:r>
      <w:r>
        <w:rPr>
          <w:rFonts w:hint="default" w:ascii="仿宋_GB2312" w:eastAsia="仿宋_GB2312"/>
          <w:b/>
          <w:bCs w:val="0"/>
          <w:color w:val="000000" w:themeColor="text1"/>
          <w:sz w:val="32"/>
          <w:szCs w:val="32"/>
          <w14:textFill>
            <w14:solidFill>
              <w14:schemeClr w14:val="tx1"/>
            </w14:solidFill>
          </w14:textFill>
        </w:rPr>
        <w:t>原文：</w:t>
      </w:r>
      <w:r>
        <w:rPr>
          <w:rFonts w:hint="eastAsia" w:ascii="仿宋_GB2312" w:hAnsi="仿宋_GB2312" w:eastAsia="仿宋_GB2312" w:cs="仿宋_GB2312"/>
          <w:b w:val="0"/>
          <w:bCs w:val="0"/>
          <w:color w:val="000000" w:themeColor="text1"/>
          <w:kern w:val="36"/>
          <w:sz w:val="32"/>
          <w:szCs w:val="32"/>
          <w14:textFill>
            <w14:solidFill>
              <w14:schemeClr w14:val="tx1"/>
            </w14:solidFill>
          </w14:textFill>
        </w:rPr>
        <w:t>第</w:t>
      </w:r>
      <w:r>
        <w:rPr>
          <w:rFonts w:hint="eastAsia" w:ascii="仿宋_GB2312" w:hAnsi="仿宋_GB2312" w:eastAsia="仿宋_GB2312" w:cs="仿宋_GB2312"/>
          <w:b w:val="0"/>
          <w:bCs w:val="0"/>
          <w:color w:val="000000" w:themeColor="text1"/>
          <w:kern w:val="36"/>
          <w:sz w:val="32"/>
          <w:szCs w:val="32"/>
          <w:lang w:eastAsia="zh-CN"/>
          <w14:textFill>
            <w14:solidFill>
              <w14:schemeClr w14:val="tx1"/>
            </w14:solidFill>
          </w14:textFill>
        </w:rPr>
        <w:t>十二</w:t>
      </w:r>
      <w:r>
        <w:rPr>
          <w:rFonts w:hint="eastAsia" w:ascii="仿宋_GB2312" w:hAnsi="仿宋_GB2312" w:eastAsia="仿宋_GB2312" w:cs="仿宋_GB2312"/>
          <w:b w:val="0"/>
          <w:bCs w:val="0"/>
          <w:color w:val="000000" w:themeColor="text1"/>
          <w:kern w:val="36"/>
          <w:sz w:val="32"/>
          <w:szCs w:val="32"/>
          <w14:textFill>
            <w14:solidFill>
              <w14:schemeClr w14:val="tx1"/>
            </w14:solidFill>
          </w14:textFill>
        </w:rPr>
        <w:t>条</w:t>
      </w:r>
      <w:r>
        <w:rPr>
          <w:rFonts w:hint="eastAsia" w:ascii="仿宋_GB2312" w:hAnsi="仿宋_GB2312" w:eastAsia="仿宋_GB2312" w:cs="仿宋_GB2312"/>
          <w:b w:val="0"/>
          <w:bCs w:val="0"/>
          <w:color w:val="000000" w:themeColor="text1"/>
          <w:kern w:val="36"/>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推动小微工业企业升级为规上企业</w:t>
      </w:r>
      <w:r>
        <w:rPr>
          <w:rFonts w:hint="default"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对产值在2000万元规模以下的成长性好、科技含量高、创新能力强的小微工业企业，符合新区产业指导中的鼓励类的，对首次上规纳统的小微工业企业给予一次性10万元奖励。</w:t>
      </w:r>
    </w:p>
    <w:p>
      <w:pPr>
        <w:keepNext w:val="0"/>
        <w:keepLines w:val="0"/>
        <w:pageBreakBefore w:val="0"/>
        <w:numPr>
          <w:ilvl w:val="-1"/>
          <w:numId w:val="0"/>
        </w:numPr>
        <w:tabs>
          <w:tab w:val="left" w:pos="0"/>
        </w:tabs>
        <w:kinsoku/>
        <w:wordWrap/>
        <w:overflowPunct/>
        <w:topLinePunct w:val="0"/>
        <w:autoSpaceDE/>
        <w:autoSpaceDN/>
        <w:bidi w:val="0"/>
        <w:spacing w:line="560" w:lineRule="exact"/>
        <w:ind w:leftChars="0" w:firstLine="642" w:firstLineChars="200"/>
        <w:textAlignment w:val="auto"/>
        <w:outlineLvl w:val="1"/>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修订后：</w:t>
      </w:r>
      <w:r>
        <w:rPr>
          <w:rFonts w:hint="eastAsia" w:ascii="仿宋_GB2312" w:eastAsia="仿宋_GB2312"/>
          <w:b w:val="0"/>
          <w:bCs/>
          <w:color w:val="000000" w:themeColor="text1"/>
          <w:sz w:val="32"/>
          <w:szCs w:val="32"/>
          <w:lang w:eastAsia="zh-CN"/>
          <w14:textFill>
            <w14:solidFill>
              <w14:schemeClr w14:val="tx1"/>
            </w14:solidFill>
          </w14:textFill>
        </w:rPr>
        <w:t>第十二</w:t>
      </w:r>
      <w:r>
        <w:rPr>
          <w:rFonts w:hint="eastAsia" w:ascii="仿宋_GB2312" w:hAnsi="仿宋_GB2312" w:eastAsia="仿宋_GB2312" w:cs="仿宋_GB2312"/>
          <w:b w:val="0"/>
          <w:bCs w:val="0"/>
          <w:color w:val="000000" w:themeColor="text1"/>
          <w:kern w:val="36"/>
          <w:sz w:val="32"/>
          <w:szCs w:val="32"/>
          <w14:textFill>
            <w14:solidFill>
              <w14:schemeClr w14:val="tx1"/>
            </w14:solidFill>
          </w14:textFill>
        </w:rPr>
        <w:t>条</w:t>
      </w:r>
      <w:r>
        <w:rPr>
          <w:rFonts w:hint="eastAsia" w:ascii="仿宋_GB2312" w:hAnsi="仿宋_GB2312" w:eastAsia="仿宋_GB2312" w:cs="仿宋_GB2312"/>
          <w:b w:val="0"/>
          <w:bCs w:val="0"/>
          <w:color w:val="000000" w:themeColor="text1"/>
          <w:kern w:val="36"/>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推动小微工业企业升级为规上企业</w:t>
      </w:r>
      <w:r>
        <w:rPr>
          <w:rFonts w:hint="default" w:ascii="仿宋_GB2312" w:hAnsi="仿宋_GB2312" w:eastAsia="仿宋_GB2312" w:cs="仿宋_GB2312"/>
          <w:color w:val="000000" w:themeColor="text1"/>
          <w:sz w:val="32"/>
          <w:szCs w:val="32"/>
          <w:highlight w:val="none"/>
          <w14:textFill>
            <w14:solidFill>
              <w14:schemeClr w14:val="tx1"/>
            </w14:solidFill>
          </w14:textFill>
        </w:rPr>
        <w:t>。</w:t>
      </w:r>
      <w:r>
        <w:rPr>
          <w:rFonts w:hint="default" w:ascii="仿宋_GB2312" w:hAnsi="仿宋_GB2312" w:eastAsia="仿宋_GB2312" w:cs="仿宋_GB2312"/>
          <w:color w:val="000000" w:themeColor="text1"/>
          <w:sz w:val="32"/>
          <w:szCs w:val="32"/>
          <w:highlight w:val="none"/>
          <w:u w:val="none"/>
          <w14:textFill>
            <w14:solidFill>
              <w14:schemeClr w14:val="tx1"/>
            </w14:solidFill>
          </w14:textFill>
        </w:rPr>
        <w:t>对首次纳入</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新</w:t>
      </w:r>
      <w:r>
        <w:rPr>
          <w:rFonts w:hint="default" w:ascii="仿宋_GB2312" w:hAnsi="仿宋_GB2312" w:eastAsia="仿宋_GB2312" w:cs="仿宋_GB2312"/>
          <w:color w:val="000000" w:themeColor="text1"/>
          <w:sz w:val="32"/>
          <w:szCs w:val="32"/>
          <w:highlight w:val="none"/>
          <w:u w:val="none"/>
          <w14:textFill>
            <w14:solidFill>
              <w14:schemeClr w14:val="tx1"/>
            </w14:solidFill>
          </w14:textFill>
        </w:rPr>
        <w:t>区“规上工业”统计库的工业企业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14:textFill>
            <w14:solidFill>
              <w14:schemeClr w14:val="tx1"/>
            </w14:solidFill>
          </w14:textFill>
        </w:rPr>
        <w:t>给予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0万元奖励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，分两年拨付，入库首年给予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10万元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奖励，入库后次年全年实现产值正增长的，再给予10万元奖励。</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2" w:firstLineChars="200"/>
        <w:textAlignment w:val="auto"/>
        <w:rPr>
          <w:rFonts w:hint="default" w:ascii="仿宋_GB2312" w:eastAsia="仿宋_GB2312"/>
          <w:b w:val="0"/>
          <w:bCs/>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修订说明：</w:t>
      </w:r>
      <w:r>
        <w:rPr>
          <w:rFonts w:hint="eastAsia" w:ascii="仿宋_GB2312" w:eastAsia="仿宋_GB2312"/>
          <w:b w:val="0"/>
          <w:bCs/>
          <w:color w:val="000000" w:themeColor="text1"/>
          <w:sz w:val="32"/>
          <w:szCs w:val="32"/>
          <w:lang w:eastAsia="zh-CN"/>
          <w14:textFill>
            <w14:solidFill>
              <w14:schemeClr w14:val="tx1"/>
            </w14:solidFill>
          </w14:textFill>
        </w:rPr>
        <w:t>规范表述，适当增加奖励金额，</w:t>
      </w:r>
      <w:r>
        <w:rPr>
          <w:rFonts w:hint="default" w:ascii="仿宋_GB2312" w:eastAsia="仿宋_GB2312"/>
          <w:b w:val="0"/>
          <w:bCs/>
          <w:color w:val="000000" w:themeColor="text1"/>
          <w:sz w:val="32"/>
          <w:szCs w:val="32"/>
          <w14:textFill>
            <w14:solidFill>
              <w14:schemeClr w14:val="tx1"/>
            </w14:solidFill>
          </w14:textFill>
        </w:rPr>
        <w:t>激励</w:t>
      </w:r>
      <w:r>
        <w:rPr>
          <w:rFonts w:hint="eastAsia" w:ascii="仿宋_GB2312" w:eastAsia="仿宋_GB2312"/>
          <w:b w:val="0"/>
          <w:bCs/>
          <w:color w:val="000000" w:themeColor="text1"/>
          <w:sz w:val="32"/>
          <w:szCs w:val="32"/>
          <w:lang w:eastAsia="zh-CN"/>
          <w14:textFill>
            <w14:solidFill>
              <w14:schemeClr w14:val="tx1"/>
            </w14:solidFill>
          </w14:textFill>
        </w:rPr>
        <w:t>企业升规</w:t>
      </w:r>
      <w:r>
        <w:rPr>
          <w:rFonts w:hint="default" w:ascii="仿宋_GB2312" w:eastAsia="仿宋_GB2312"/>
          <w:b w:val="0"/>
          <w:bCs/>
          <w:color w:val="000000" w:themeColor="text1"/>
          <w:sz w:val="32"/>
          <w:szCs w:val="32"/>
          <w14:textFill>
            <w14:solidFill>
              <w14:schemeClr w14:val="tx1"/>
            </w14:solidFill>
          </w14:textFill>
        </w:rPr>
        <w:t>纳统</w:t>
      </w:r>
      <w:r>
        <w:rPr>
          <w:rFonts w:hint="eastAsia" w:ascii="仿宋_GB2312" w:eastAsia="仿宋_GB2312"/>
          <w:b w:val="0"/>
          <w:bCs/>
          <w:color w:val="000000" w:themeColor="text1"/>
          <w:sz w:val="32"/>
          <w:szCs w:val="32"/>
          <w:lang w:eastAsia="zh-CN"/>
          <w14:textFill>
            <w14:solidFill>
              <w14:schemeClr w14:val="tx1"/>
            </w14:solidFill>
          </w14:textFill>
        </w:rPr>
        <w:t>并保持</w:t>
      </w:r>
      <w:r>
        <w:rPr>
          <w:rFonts w:hint="default" w:ascii="仿宋_GB2312" w:eastAsia="仿宋_GB2312"/>
          <w:b w:val="0"/>
          <w:bCs/>
          <w:color w:val="000000" w:themeColor="text1"/>
          <w:sz w:val="32"/>
          <w:szCs w:val="32"/>
          <w14:textFill>
            <w14:solidFill>
              <w14:schemeClr w14:val="tx1"/>
            </w14:solidFill>
          </w14:textFill>
        </w:rPr>
        <w:t>持续增长。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2" w:firstLineChars="200"/>
        <w:textAlignment w:val="auto"/>
        <w:rPr>
          <w:rFonts w:hint="eastAsia" w:ascii="仿宋_GB2312" w:hAnsi="Times New Roman" w:eastAsia="仿宋_GB2312" w:cs="Times New Roman"/>
          <w:b w:val="0"/>
          <w:bCs/>
          <w:color w:val="000000" w:themeColor="text1"/>
          <w:kern w:val="2"/>
          <w:sz w:val="32"/>
          <w:szCs w:val="32"/>
          <w:lang w:val="en-US" w:eastAsia="zh-CN" w:bidi="ar-SA"/>
          <w14:textFill>
            <w14:solidFill>
              <w14:schemeClr w14:val="tx1"/>
            </w14:solidFill>
          </w14:textFill>
        </w:rPr>
      </w:pPr>
      <w:r>
        <w:rPr>
          <w:rFonts w:hint="default" w:ascii="仿宋_GB2312" w:hAnsi="Times New Roman" w:eastAsia="仿宋_GB2312" w:cs="Times New Roman"/>
          <w:b/>
          <w:color w:val="000000" w:themeColor="text1"/>
          <w:sz w:val="32"/>
          <w:szCs w:val="32"/>
          <w14:textFill>
            <w14:solidFill>
              <w14:schemeClr w14:val="tx1"/>
            </w14:solidFill>
          </w14:textFill>
        </w:rPr>
        <w:t>参考依据：</w:t>
      </w:r>
      <w:r>
        <w:rPr>
          <w:rFonts w:hint="eastAsia" w:ascii="仿宋_GB2312" w:hAnsi="Times New Roman" w:eastAsia="仿宋_GB2312" w:cs="Times New Roman"/>
          <w:b w:val="0"/>
          <w:bCs/>
          <w:color w:val="000000" w:themeColor="text1"/>
          <w:kern w:val="2"/>
          <w:sz w:val="32"/>
          <w:szCs w:val="32"/>
          <w:lang w:val="en-US" w:eastAsia="zh-CN" w:bidi="ar-SA"/>
          <w14:textFill>
            <w14:solidFill>
              <w14:schemeClr w14:val="tx1"/>
            </w14:solidFill>
          </w14:textFill>
        </w:rPr>
        <w:t>《深圳市人民政府关于加快培育壮大市场主体的实施意见》（</w:t>
      </w:r>
      <w:r>
        <w:rPr>
          <w:rFonts w:hint="eastAsia" w:ascii="仿宋_GB2312" w:hAnsi="仿宋_GB2312" w:eastAsia="仿宋_GB2312" w:cs="仿宋_GB2312"/>
          <w:color w:val="000000" w:themeColor="text1"/>
          <w:sz w:val="32"/>
          <w:szCs w:val="32"/>
          <w:highlight w:val="none"/>
          <w14:textFill>
            <w14:solidFill>
              <w14:schemeClr w14:val="tx1"/>
            </w14:solidFill>
          </w14:textFill>
        </w:rPr>
        <w:t>深府〔202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32</w:t>
      </w:r>
      <w:r>
        <w:rPr>
          <w:rFonts w:hint="eastAsia" w:ascii="仿宋_GB2312" w:hAnsi="仿宋_GB2312" w:eastAsia="仿宋_GB2312" w:cs="仿宋_GB2312"/>
          <w:color w:val="000000" w:themeColor="text1"/>
          <w:sz w:val="32"/>
          <w:szCs w:val="32"/>
          <w:highlight w:val="none"/>
          <w14:textFill>
            <w14:solidFill>
              <w14:schemeClr w14:val="tx1"/>
            </w14:solidFill>
          </w14:textFill>
        </w:rPr>
        <w:t>号</w:t>
      </w:r>
      <w:r>
        <w:rPr>
          <w:rFonts w:hint="eastAsia" w:ascii="仿宋_GB2312" w:hAnsi="Times New Roman" w:eastAsia="仿宋_GB2312" w:cs="Times New Roman"/>
          <w:b w:val="0"/>
          <w:bCs/>
          <w:color w:val="000000" w:themeColor="text1"/>
          <w:kern w:val="2"/>
          <w:sz w:val="32"/>
          <w:szCs w:val="32"/>
          <w:lang w:val="en-US" w:eastAsia="zh-CN" w:bidi="ar-SA"/>
          <w14:textFill>
            <w14:solidFill>
              <w14:schemeClr w14:val="tx1"/>
            </w14:solidFill>
          </w14:textFill>
        </w:rPr>
        <w:t>）第八条：对首次纳入“四上”企业库并于入库次年实现产值（营业收入、零售额）正增长的，工业企业给予最高20万元奖励。</w:t>
      </w:r>
    </w:p>
    <w:p>
      <w:pPr>
        <w:keepNext w:val="0"/>
        <w:keepLines w:val="0"/>
        <w:pageBreakBefore w:val="0"/>
        <w:kinsoku/>
        <w:wordWrap/>
        <w:overflowPunct/>
        <w:topLinePunct w:val="0"/>
        <w:autoSpaceDE/>
        <w:autoSpaceDN/>
        <w:bidi w:val="0"/>
        <w:spacing w:line="560" w:lineRule="exact"/>
        <w:textAlignment w:val="auto"/>
        <w:rPr>
          <w:color w:val="000000" w:themeColor="text1"/>
          <w14:textFill>
            <w14:solidFill>
              <w14:schemeClr w14:val="tx1"/>
            </w14:solidFill>
          </w14:textFill>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-211455</wp:posOffset>
              </wp:positionV>
              <wp:extent cx="907415" cy="2578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07415" cy="257810"/>
                      </a:xfrm>
                      <a:prstGeom prst="rect">
                        <a:avLst/>
                      </a:prstGeom>
                      <a:noFill/>
                      <a:ln>
                        <a:noFill/>
                      </a:ln>
                    </wps:spPr>
                    <wps:txbx>
                      <w:txbxContent>
                        <w:p>
                          <w:pPr>
                            <w:pStyle w:val="5"/>
                            <w:ind w:firstLine="280" w:firstLineChars="100"/>
                            <w:rPr>
                              <w:rFonts w:hint="default"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16.65pt;height:20.3pt;width:71.45pt;mso-position-horizontal:outside;mso-position-horizontal-relative:margin;z-index:251659264;mso-width-relative:page;mso-height-relative:page;" filled="f" stroked="f" coordsize="21600,21600" o:gfxdata="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">
              <v:fill on="f" focussize="0,0"/>
              <v:stroke on="f"/>
              <v:imagedata o:title=""/>
              <o:lock v:ext="edit" aspectratio="f"/>
              <v:textbox inset="0mm,0mm,0mm,0mm">
                <w:txbxContent>
                  <w:p>
                    <w:pPr>
                      <w:pStyle w:val="5"/>
                      <w:ind w:firstLine="280" w:firstLineChars="100"/>
                      <w:rPr>
                        <w:rFonts w:hint="default"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BB0E5B"/>
    <w:multiLevelType w:val="singleLevel"/>
    <w:tmpl w:val="E7BB0E5B"/>
    <w:lvl w:ilvl="0" w:tentative="0">
      <w:start w:val="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E7B1F8E"/>
    <w:rsid w:val="1ADDC45D"/>
    <w:rsid w:val="2AC2D440"/>
    <w:rsid w:val="36EB7928"/>
    <w:rsid w:val="3D7F8F0C"/>
    <w:rsid w:val="3EFFFD4E"/>
    <w:rsid w:val="3FBE1FD1"/>
    <w:rsid w:val="49DDAE2A"/>
    <w:rsid w:val="4A1947CF"/>
    <w:rsid w:val="4FE7F7BA"/>
    <w:rsid w:val="545F308D"/>
    <w:rsid w:val="5CFF9C35"/>
    <w:rsid w:val="5E7C989B"/>
    <w:rsid w:val="62E60E41"/>
    <w:rsid w:val="6BABBF06"/>
    <w:rsid w:val="6BFDB8DE"/>
    <w:rsid w:val="6DEBF0ED"/>
    <w:rsid w:val="6F7B47B3"/>
    <w:rsid w:val="6FFF8175"/>
    <w:rsid w:val="71513379"/>
    <w:rsid w:val="71E92088"/>
    <w:rsid w:val="75BD286F"/>
    <w:rsid w:val="75EF93BC"/>
    <w:rsid w:val="77BF3409"/>
    <w:rsid w:val="77ED61D6"/>
    <w:rsid w:val="77FE1FB9"/>
    <w:rsid w:val="7B2F034A"/>
    <w:rsid w:val="7B9D5183"/>
    <w:rsid w:val="7BFB7A74"/>
    <w:rsid w:val="7DEF3166"/>
    <w:rsid w:val="7E5B911B"/>
    <w:rsid w:val="7F7F8E94"/>
    <w:rsid w:val="7FED9023"/>
    <w:rsid w:val="7FF3164A"/>
    <w:rsid w:val="8DDE4585"/>
    <w:rsid w:val="8FF78AD5"/>
    <w:rsid w:val="AFFF7D22"/>
    <w:rsid w:val="B7FAA2AE"/>
    <w:rsid w:val="BDADDBD2"/>
    <w:rsid w:val="BDDEF684"/>
    <w:rsid w:val="BE1E7330"/>
    <w:rsid w:val="D7AB462E"/>
    <w:rsid w:val="DDFA185F"/>
    <w:rsid w:val="DEFF1132"/>
    <w:rsid w:val="DFB70DA2"/>
    <w:rsid w:val="E7BB4241"/>
    <w:rsid w:val="E9EF8A7D"/>
    <w:rsid w:val="EE77C704"/>
    <w:rsid w:val="EEFC04FB"/>
    <w:rsid w:val="F3FFC39E"/>
    <w:rsid w:val="FADBE148"/>
    <w:rsid w:val="FAF0E245"/>
    <w:rsid w:val="FB4FF6B7"/>
    <w:rsid w:val="FB7FC220"/>
    <w:rsid w:val="FBFF09AF"/>
    <w:rsid w:val="FCFFFCF7"/>
    <w:rsid w:val="FD3FB7DA"/>
    <w:rsid w:val="FDFD81B9"/>
    <w:rsid w:val="FDFF993B"/>
    <w:rsid w:val="FE69E036"/>
    <w:rsid w:val="FEF78AD1"/>
    <w:rsid w:val="FFBDE68B"/>
    <w:rsid w:val="FFDEDD27"/>
    <w:rsid w:val="FFDF1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tabs>
        <w:tab w:val="left" w:pos="426"/>
      </w:tabs>
      <w:spacing w:after="120"/>
      <w:ind w:left="1440" w:leftChars="700" w:right="1440" w:rightChars="700"/>
    </w:pPr>
    <w:rPr>
      <w:rFonts w:ascii="Calibri" w:hAnsi="Calibri" w:eastAsia="宋体" w:cs="Times New Roman"/>
    </w:rPr>
  </w:style>
  <w:style w:type="paragraph" w:styleId="4">
    <w:name w:val="Body Text"/>
    <w:basedOn w:val="1"/>
    <w:qFormat/>
    <w:uiPriority w:val="0"/>
    <w:rPr>
      <w:rFonts w:ascii="Calibri" w:hAnsi="Calibri"/>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2018-07-18T15:11:00Z</dcterms:created>
  <dc:creator>d</dc:creator>
  <cp:lastModifiedBy>黎恩</cp:lastModifiedBy>
  <cp:lastPrinted>2023-04-19T09:48:00Z</cp:lastPrinted>
  <dcterms:modified xsi:type="dcterms:W3CDTF">2023-12-08T15:39:31Z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33F950F026FE912EB9B672650BCF95FE</vt:lpwstr>
  </property>
</Properties>
</file>