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tabs>
          <w:tab w:val="center" w:pos="6902"/>
          <w:tab w:val="left" w:pos="11191"/>
        </w:tabs>
        <w:kinsoku/>
        <w:wordWrap/>
        <w:overflowPunct/>
        <w:topLinePunct w:val="0"/>
        <w:autoSpaceDE/>
        <w:autoSpaceDN/>
        <w:bidi w:val="0"/>
        <w:adjustRightInd/>
        <w:snapToGrid/>
        <w:spacing w:after="0" w:line="240" w:lineRule="auto"/>
        <w:ind w:firstLine="0" w:firstLineChars="0"/>
        <w:jc w:val="center"/>
        <w:textAlignment w:val="auto"/>
        <w:rPr>
          <w:rFonts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大鹏新区旅游统计月度指标表</w:t>
      </w:r>
    </w:p>
    <w:p>
      <w:pPr>
        <w:widowControl w:val="0"/>
        <w:spacing w:after="0" w:line="240" w:lineRule="auto"/>
        <w:ind w:firstLine="0" w:firstLineChars="0"/>
        <w:jc w:val="center"/>
        <w:rPr>
          <w:rFonts w:ascii="仿宋_GB2312" w:hAnsi="仿宋_GB2312" w:cs="仿宋_GB2312"/>
          <w:b/>
          <w:sz w:val="28"/>
          <w:szCs w:val="28"/>
        </w:rPr>
      </w:pPr>
      <w:r>
        <w:rPr>
          <w:rFonts w:hint="eastAsia" w:ascii="仿宋_GB2312" w:hAnsi="仿宋_GB2312" w:cs="仿宋_GB2312"/>
          <w:b/>
          <w:sz w:val="28"/>
          <w:szCs w:val="28"/>
        </w:rPr>
        <w:t>【2023年9月份数据】</w:t>
      </w:r>
    </w:p>
    <w:tbl>
      <w:tblPr>
        <w:tblStyle w:val="2"/>
        <w:tblW w:w="12729" w:type="dxa"/>
        <w:tblInd w:w="0" w:type="dxa"/>
        <w:tblLayout w:type="autofit"/>
        <w:tblCellMar>
          <w:top w:w="0" w:type="dxa"/>
          <w:left w:w="108" w:type="dxa"/>
          <w:bottom w:w="0" w:type="dxa"/>
          <w:right w:w="108" w:type="dxa"/>
        </w:tblCellMar>
      </w:tblPr>
      <w:tblGrid>
        <w:gridCol w:w="1408"/>
        <w:gridCol w:w="906"/>
        <w:gridCol w:w="228"/>
        <w:gridCol w:w="850"/>
        <w:gridCol w:w="1560"/>
        <w:gridCol w:w="1559"/>
        <w:gridCol w:w="1417"/>
        <w:gridCol w:w="1329"/>
        <w:gridCol w:w="1157"/>
        <w:gridCol w:w="1157"/>
        <w:gridCol w:w="1158"/>
      </w:tblGrid>
      <w:tr>
        <w:tblPrEx>
          <w:tblCellMar>
            <w:top w:w="0" w:type="dxa"/>
            <w:left w:w="108" w:type="dxa"/>
            <w:bottom w:w="0" w:type="dxa"/>
            <w:right w:w="108" w:type="dxa"/>
          </w:tblCellMar>
        </w:tblPrEx>
        <w:trPr>
          <w:trHeight w:val="711" w:hRule="atLeast"/>
        </w:trPr>
        <w:tc>
          <w:tcPr>
            <w:tcW w:w="3392" w:type="dxa"/>
            <w:gridSpan w:val="4"/>
            <w:tcBorders>
              <w:top w:val="single" w:color="auto" w:sz="8" w:space="0"/>
              <w:left w:val="single" w:color="auto" w:sz="8" w:space="0"/>
              <w:bottom w:val="single" w:color="auto" w:sz="8" w:space="0"/>
              <w:right w:val="single" w:color="000000" w:sz="8" w:space="0"/>
            </w:tcBorders>
            <w:shd w:val="clear" w:color="000000" w:fill="D7D7D7"/>
            <w:vAlign w:val="center"/>
          </w:tcPr>
          <w:p>
            <w:pPr>
              <w:spacing w:after="0" w:line="240" w:lineRule="auto"/>
              <w:ind w:firstLine="0" w:firstLineChars="0"/>
              <w:jc w:val="center"/>
              <w:rPr>
                <w:rFonts w:ascii="仿宋_GB2312" w:hAnsi="DengXian" w:cs="宋体"/>
                <w:b/>
                <w:bCs/>
                <w:color w:val="000000"/>
                <w:kern w:val="0"/>
                <w:sz w:val="21"/>
                <w:szCs w:val="21"/>
              </w:rPr>
            </w:pPr>
            <w:r>
              <w:rPr>
                <w:rFonts w:hint="eastAsia" w:ascii="仿宋_GB2312" w:hAnsi="DengXian" w:cs="宋体"/>
                <w:b/>
                <w:bCs/>
                <w:color w:val="000000"/>
                <w:kern w:val="0"/>
                <w:sz w:val="21"/>
                <w:szCs w:val="21"/>
              </w:rPr>
              <w:t>项  目</w:t>
            </w:r>
          </w:p>
        </w:tc>
        <w:tc>
          <w:tcPr>
            <w:tcW w:w="1560" w:type="dxa"/>
            <w:tcBorders>
              <w:top w:val="single" w:color="auto" w:sz="8" w:space="0"/>
              <w:left w:val="nil"/>
              <w:bottom w:val="single" w:color="auto" w:sz="8" w:space="0"/>
              <w:right w:val="single" w:color="auto" w:sz="8" w:space="0"/>
            </w:tcBorders>
            <w:shd w:val="clear" w:color="000000" w:fill="D7D7D7"/>
            <w:vAlign w:val="center"/>
          </w:tcPr>
          <w:p>
            <w:pPr>
              <w:spacing w:after="0" w:line="240" w:lineRule="auto"/>
              <w:ind w:firstLine="0" w:firstLineChars="0"/>
              <w:jc w:val="center"/>
              <w:rPr>
                <w:rFonts w:hint="eastAsia" w:ascii="仿宋_GB2312" w:hAnsi="DengXian" w:cs="宋体"/>
                <w:b/>
                <w:bCs/>
                <w:color w:val="000000"/>
                <w:kern w:val="0"/>
                <w:sz w:val="21"/>
                <w:szCs w:val="21"/>
              </w:rPr>
            </w:pPr>
            <w:r>
              <w:rPr>
                <w:rFonts w:hint="eastAsia" w:ascii="仿宋_GB2312" w:hAnsi="DengXian" w:cs="宋体"/>
                <w:b/>
                <w:bCs/>
                <w:color w:val="000000"/>
                <w:kern w:val="0"/>
                <w:sz w:val="21"/>
                <w:szCs w:val="21"/>
              </w:rPr>
              <w:t>单位</w:t>
            </w:r>
          </w:p>
        </w:tc>
        <w:tc>
          <w:tcPr>
            <w:tcW w:w="1559" w:type="dxa"/>
            <w:tcBorders>
              <w:top w:val="single" w:color="auto" w:sz="8" w:space="0"/>
              <w:left w:val="nil"/>
              <w:bottom w:val="single" w:color="auto" w:sz="8" w:space="0"/>
              <w:right w:val="single" w:color="auto" w:sz="8" w:space="0"/>
            </w:tcBorders>
            <w:shd w:val="clear" w:color="000000" w:fill="D7D7D7"/>
            <w:vAlign w:val="center"/>
          </w:tcPr>
          <w:p>
            <w:pPr>
              <w:spacing w:after="0" w:line="240" w:lineRule="auto"/>
              <w:ind w:firstLine="0" w:firstLineChars="0"/>
              <w:jc w:val="center"/>
              <w:rPr>
                <w:rFonts w:hint="eastAsia" w:ascii="仿宋_GB2312" w:hAnsi="DengXian" w:cs="宋体"/>
                <w:b/>
                <w:bCs/>
                <w:color w:val="000000"/>
                <w:kern w:val="0"/>
                <w:sz w:val="21"/>
                <w:szCs w:val="21"/>
              </w:rPr>
            </w:pPr>
            <w:r>
              <w:rPr>
                <w:rFonts w:hint="eastAsia" w:ascii="仿宋_GB2312" w:hAnsi="DengXian" w:cs="宋体"/>
                <w:b/>
                <w:bCs/>
                <w:color w:val="000000"/>
                <w:kern w:val="0"/>
                <w:sz w:val="21"/>
                <w:szCs w:val="21"/>
              </w:rPr>
              <w:t>2023年9月份</w:t>
            </w:r>
          </w:p>
        </w:tc>
        <w:tc>
          <w:tcPr>
            <w:tcW w:w="1417" w:type="dxa"/>
            <w:tcBorders>
              <w:top w:val="single" w:color="auto" w:sz="8" w:space="0"/>
              <w:left w:val="nil"/>
              <w:bottom w:val="single" w:color="auto" w:sz="8" w:space="0"/>
              <w:right w:val="single" w:color="auto" w:sz="8" w:space="0"/>
            </w:tcBorders>
            <w:shd w:val="clear" w:color="000000" w:fill="D7D7D7"/>
            <w:vAlign w:val="center"/>
          </w:tcPr>
          <w:p>
            <w:pPr>
              <w:spacing w:after="0" w:line="240" w:lineRule="auto"/>
              <w:ind w:firstLine="0" w:firstLineChars="0"/>
              <w:jc w:val="center"/>
              <w:rPr>
                <w:rFonts w:hint="eastAsia" w:ascii="仿宋_GB2312" w:hAnsi="DengXian" w:cs="宋体"/>
                <w:b/>
                <w:bCs/>
                <w:color w:val="000000"/>
                <w:kern w:val="0"/>
                <w:sz w:val="21"/>
                <w:szCs w:val="21"/>
              </w:rPr>
            </w:pPr>
            <w:r>
              <w:rPr>
                <w:rFonts w:hint="eastAsia" w:ascii="仿宋_GB2312" w:hAnsi="DengXian" w:cs="宋体"/>
                <w:b/>
                <w:bCs/>
                <w:color w:val="000000"/>
                <w:kern w:val="0"/>
                <w:sz w:val="21"/>
                <w:szCs w:val="21"/>
              </w:rPr>
              <w:t>去年9月份</w:t>
            </w:r>
          </w:p>
        </w:tc>
        <w:tc>
          <w:tcPr>
            <w:tcW w:w="1329" w:type="dxa"/>
            <w:tcBorders>
              <w:top w:val="single" w:color="auto" w:sz="8" w:space="0"/>
              <w:left w:val="nil"/>
              <w:bottom w:val="single" w:color="auto" w:sz="8" w:space="0"/>
              <w:right w:val="single" w:color="auto" w:sz="8" w:space="0"/>
            </w:tcBorders>
            <w:shd w:val="clear" w:color="000000" w:fill="D7D7D7"/>
            <w:vAlign w:val="center"/>
          </w:tcPr>
          <w:p>
            <w:pPr>
              <w:spacing w:after="0" w:line="240" w:lineRule="auto"/>
              <w:ind w:firstLine="0" w:firstLineChars="0"/>
              <w:jc w:val="center"/>
              <w:rPr>
                <w:rFonts w:hint="eastAsia" w:ascii="仿宋_GB2312" w:hAnsi="DengXian" w:cs="宋体"/>
                <w:b/>
                <w:bCs/>
                <w:color w:val="000000"/>
                <w:kern w:val="0"/>
                <w:sz w:val="21"/>
                <w:szCs w:val="21"/>
              </w:rPr>
            </w:pPr>
            <w:r>
              <w:rPr>
                <w:rFonts w:hint="eastAsia" w:ascii="仿宋_GB2312" w:hAnsi="DengXian" w:cs="宋体"/>
                <w:b/>
                <w:bCs/>
                <w:color w:val="000000"/>
                <w:kern w:val="0"/>
                <w:sz w:val="21"/>
                <w:szCs w:val="21"/>
              </w:rPr>
              <w:t>与去年9月份同比（%）</w:t>
            </w:r>
          </w:p>
        </w:tc>
        <w:tc>
          <w:tcPr>
            <w:tcW w:w="1157" w:type="dxa"/>
            <w:tcBorders>
              <w:top w:val="single" w:color="auto" w:sz="8" w:space="0"/>
              <w:left w:val="nil"/>
              <w:bottom w:val="single" w:color="auto" w:sz="8" w:space="0"/>
              <w:right w:val="single" w:color="auto" w:sz="8" w:space="0"/>
            </w:tcBorders>
            <w:shd w:val="clear" w:color="000000" w:fill="D7D7D7"/>
            <w:vAlign w:val="center"/>
          </w:tcPr>
          <w:p>
            <w:pPr>
              <w:spacing w:after="0" w:line="240" w:lineRule="auto"/>
              <w:ind w:firstLine="0" w:firstLineChars="0"/>
              <w:jc w:val="center"/>
              <w:rPr>
                <w:rFonts w:hint="eastAsia" w:ascii="仿宋_GB2312" w:hAnsi="DengXian" w:cs="宋体"/>
                <w:b/>
                <w:bCs/>
                <w:color w:val="000000"/>
                <w:kern w:val="0"/>
                <w:sz w:val="21"/>
                <w:szCs w:val="21"/>
              </w:rPr>
            </w:pPr>
            <w:r>
              <w:rPr>
                <w:rFonts w:hint="eastAsia" w:ascii="仿宋_GB2312" w:hAnsi="DengXian" w:cs="宋体"/>
                <w:b/>
                <w:bCs/>
                <w:color w:val="000000"/>
                <w:kern w:val="0"/>
                <w:sz w:val="21"/>
                <w:szCs w:val="21"/>
              </w:rPr>
              <w:t>本月止累计</w:t>
            </w:r>
          </w:p>
        </w:tc>
        <w:tc>
          <w:tcPr>
            <w:tcW w:w="1157" w:type="dxa"/>
            <w:tcBorders>
              <w:top w:val="single" w:color="auto" w:sz="8" w:space="0"/>
              <w:left w:val="nil"/>
              <w:bottom w:val="single" w:color="auto" w:sz="8" w:space="0"/>
              <w:right w:val="single" w:color="auto" w:sz="8" w:space="0"/>
            </w:tcBorders>
            <w:shd w:val="clear" w:color="000000" w:fill="D7D7D7"/>
            <w:vAlign w:val="center"/>
          </w:tcPr>
          <w:p>
            <w:pPr>
              <w:spacing w:after="0" w:line="240" w:lineRule="auto"/>
              <w:ind w:firstLine="0" w:firstLineChars="0"/>
              <w:jc w:val="center"/>
              <w:rPr>
                <w:rFonts w:hint="eastAsia" w:ascii="仿宋_GB2312" w:hAnsi="DengXian" w:cs="宋体"/>
                <w:b/>
                <w:bCs/>
                <w:color w:val="000000"/>
                <w:kern w:val="0"/>
                <w:sz w:val="21"/>
                <w:szCs w:val="21"/>
              </w:rPr>
            </w:pPr>
            <w:r>
              <w:rPr>
                <w:rFonts w:hint="eastAsia" w:ascii="仿宋_GB2312" w:hAnsi="DengXian" w:cs="宋体"/>
                <w:b/>
                <w:bCs/>
                <w:color w:val="000000"/>
                <w:kern w:val="0"/>
                <w:sz w:val="21"/>
                <w:szCs w:val="21"/>
              </w:rPr>
              <w:t>去年本月止累计</w:t>
            </w:r>
          </w:p>
        </w:tc>
        <w:tc>
          <w:tcPr>
            <w:tcW w:w="1158" w:type="dxa"/>
            <w:tcBorders>
              <w:top w:val="single" w:color="auto" w:sz="8" w:space="0"/>
              <w:left w:val="nil"/>
              <w:bottom w:val="single" w:color="auto" w:sz="8" w:space="0"/>
              <w:right w:val="single" w:color="auto" w:sz="8" w:space="0"/>
            </w:tcBorders>
            <w:shd w:val="clear" w:color="000000" w:fill="D7D7D7"/>
            <w:vAlign w:val="center"/>
          </w:tcPr>
          <w:p>
            <w:pPr>
              <w:spacing w:after="0" w:line="240" w:lineRule="auto"/>
              <w:ind w:firstLine="0" w:firstLineChars="0"/>
              <w:jc w:val="center"/>
              <w:rPr>
                <w:rFonts w:hint="eastAsia" w:ascii="仿宋_GB2312" w:hAnsi="DengXian" w:cs="宋体"/>
                <w:b/>
                <w:bCs/>
                <w:color w:val="000000"/>
                <w:kern w:val="0"/>
                <w:sz w:val="21"/>
                <w:szCs w:val="21"/>
              </w:rPr>
            </w:pPr>
            <w:r>
              <w:rPr>
                <w:rFonts w:hint="eastAsia" w:ascii="仿宋_GB2312" w:hAnsi="DengXian" w:cs="宋体"/>
                <w:b/>
                <w:bCs/>
                <w:color w:val="000000"/>
                <w:kern w:val="0"/>
                <w:sz w:val="21"/>
                <w:szCs w:val="21"/>
              </w:rPr>
              <w:t>累计同比（%）</w:t>
            </w:r>
          </w:p>
        </w:tc>
      </w:tr>
      <w:tr>
        <w:tblPrEx>
          <w:tblCellMar>
            <w:top w:w="0" w:type="dxa"/>
            <w:left w:w="108" w:type="dxa"/>
            <w:bottom w:w="0" w:type="dxa"/>
            <w:right w:w="108" w:type="dxa"/>
          </w:tblCellMar>
        </w:tblPrEx>
        <w:trPr>
          <w:trHeight w:val="313" w:hRule="atLeast"/>
        </w:trPr>
        <w:tc>
          <w:tcPr>
            <w:tcW w:w="3392" w:type="dxa"/>
            <w:gridSpan w:val="4"/>
            <w:tcBorders>
              <w:top w:val="single" w:color="auto" w:sz="8" w:space="0"/>
              <w:left w:val="single" w:color="auto" w:sz="8" w:space="0"/>
              <w:bottom w:val="single" w:color="auto" w:sz="8" w:space="0"/>
              <w:right w:val="single" w:color="000000" w:sz="8" w:space="0"/>
            </w:tcBorders>
            <w:shd w:val="clear" w:color="auto" w:fill="auto"/>
            <w:vAlign w:val="center"/>
          </w:tcPr>
          <w:p>
            <w:pPr>
              <w:spacing w:after="0" w:line="240" w:lineRule="auto"/>
              <w:ind w:firstLine="0" w:firstLineChars="0"/>
              <w:rPr>
                <w:rFonts w:hint="eastAsia" w:ascii="仿宋_GB2312" w:hAnsi="DengXian" w:cs="宋体"/>
                <w:b/>
                <w:bCs/>
                <w:color w:val="000000"/>
                <w:kern w:val="0"/>
                <w:sz w:val="22"/>
              </w:rPr>
            </w:pPr>
            <w:r>
              <w:rPr>
                <w:rFonts w:hint="eastAsia" w:ascii="仿宋_GB2312" w:hAnsi="DengXian" w:cs="宋体"/>
                <w:b/>
                <w:bCs/>
                <w:color w:val="000000"/>
                <w:kern w:val="0"/>
                <w:sz w:val="22"/>
              </w:rPr>
              <w:t>1.接待总人数</w:t>
            </w:r>
          </w:p>
        </w:tc>
        <w:tc>
          <w:tcPr>
            <w:tcW w:w="1560"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万人次</w:t>
            </w:r>
          </w:p>
        </w:tc>
        <w:tc>
          <w:tcPr>
            <w:tcW w:w="1559"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152.15</w:t>
            </w:r>
          </w:p>
        </w:tc>
        <w:tc>
          <w:tcPr>
            <w:tcW w:w="1417"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115.1</w:t>
            </w:r>
          </w:p>
        </w:tc>
        <w:tc>
          <w:tcPr>
            <w:tcW w:w="1329"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32.19%</w:t>
            </w:r>
          </w:p>
        </w:tc>
        <w:tc>
          <w:tcPr>
            <w:tcW w:w="1157"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1281.88</w:t>
            </w:r>
          </w:p>
        </w:tc>
        <w:tc>
          <w:tcPr>
            <w:tcW w:w="1157"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1057.09</w:t>
            </w:r>
          </w:p>
        </w:tc>
        <w:tc>
          <w:tcPr>
            <w:tcW w:w="1158"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21.26%</w:t>
            </w:r>
          </w:p>
        </w:tc>
      </w:tr>
      <w:tr>
        <w:tblPrEx>
          <w:tblCellMar>
            <w:top w:w="0" w:type="dxa"/>
            <w:left w:w="108" w:type="dxa"/>
            <w:bottom w:w="0" w:type="dxa"/>
            <w:right w:w="108" w:type="dxa"/>
          </w:tblCellMar>
        </w:tblPrEx>
        <w:trPr>
          <w:trHeight w:val="313" w:hRule="atLeast"/>
        </w:trPr>
        <w:tc>
          <w:tcPr>
            <w:tcW w:w="1408"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color w:val="000000"/>
                <w:kern w:val="0"/>
                <w:sz w:val="22"/>
              </w:rPr>
            </w:pPr>
            <w:r>
              <w:rPr>
                <w:rFonts w:hint="eastAsia" w:ascii="仿宋_GB2312" w:hAnsi="DengXian" w:cs="宋体"/>
                <w:color w:val="000000"/>
                <w:kern w:val="0"/>
                <w:sz w:val="22"/>
              </w:rPr>
              <w:t>按国内外分：</w:t>
            </w:r>
          </w:p>
        </w:tc>
        <w:tc>
          <w:tcPr>
            <w:tcW w:w="1984" w:type="dxa"/>
            <w:gridSpan w:val="3"/>
            <w:tcBorders>
              <w:top w:val="single" w:color="auto" w:sz="8" w:space="0"/>
              <w:left w:val="single" w:color="auto" w:sz="8" w:space="0"/>
              <w:bottom w:val="single" w:color="auto" w:sz="8" w:space="0"/>
              <w:right w:val="single" w:color="000000" w:sz="8" w:space="0"/>
            </w:tcBorders>
            <w:shd w:val="clear" w:color="auto" w:fill="auto"/>
            <w:vAlign w:val="center"/>
          </w:tcPr>
          <w:p>
            <w:pPr>
              <w:spacing w:after="0" w:line="240" w:lineRule="auto"/>
              <w:ind w:firstLine="0" w:firstLineChars="0"/>
              <w:jc w:val="center"/>
              <w:rPr>
                <w:rFonts w:hint="eastAsia" w:ascii="仿宋_GB2312" w:hAnsi="DengXian" w:cs="宋体"/>
                <w:color w:val="000000"/>
                <w:kern w:val="0"/>
                <w:sz w:val="22"/>
              </w:rPr>
            </w:pPr>
            <w:r>
              <w:rPr>
                <w:rFonts w:hint="eastAsia" w:ascii="仿宋_GB2312" w:hAnsi="DengXian" w:cs="宋体"/>
                <w:color w:val="000000"/>
                <w:kern w:val="0"/>
                <w:sz w:val="22"/>
              </w:rPr>
              <w:t>国内游客</w:t>
            </w:r>
          </w:p>
        </w:tc>
        <w:tc>
          <w:tcPr>
            <w:tcW w:w="1560"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color w:val="000000"/>
                <w:kern w:val="0"/>
                <w:sz w:val="22"/>
              </w:rPr>
            </w:pPr>
            <w:r>
              <w:rPr>
                <w:rFonts w:hint="eastAsia" w:ascii="仿宋_GB2312" w:hAnsi="DengXian" w:cs="宋体"/>
                <w:color w:val="000000"/>
                <w:kern w:val="0"/>
                <w:sz w:val="22"/>
              </w:rPr>
              <w:t>万人次</w:t>
            </w:r>
          </w:p>
        </w:tc>
        <w:tc>
          <w:tcPr>
            <w:tcW w:w="1559"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145.95</w:t>
            </w:r>
          </w:p>
        </w:tc>
        <w:tc>
          <w:tcPr>
            <w:tcW w:w="1417"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110.52</w:t>
            </w:r>
          </w:p>
        </w:tc>
        <w:tc>
          <w:tcPr>
            <w:tcW w:w="1329"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32.06%</w:t>
            </w:r>
          </w:p>
        </w:tc>
        <w:tc>
          <w:tcPr>
            <w:tcW w:w="1157"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1243.23</w:t>
            </w:r>
          </w:p>
        </w:tc>
        <w:tc>
          <w:tcPr>
            <w:tcW w:w="1157"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1023.98</w:t>
            </w:r>
          </w:p>
        </w:tc>
        <w:tc>
          <w:tcPr>
            <w:tcW w:w="1158"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21.41%</w:t>
            </w:r>
          </w:p>
        </w:tc>
      </w:tr>
      <w:tr>
        <w:tblPrEx>
          <w:tblCellMar>
            <w:top w:w="0" w:type="dxa"/>
            <w:left w:w="108" w:type="dxa"/>
            <w:bottom w:w="0" w:type="dxa"/>
            <w:right w:w="108" w:type="dxa"/>
          </w:tblCellMar>
        </w:tblPrEx>
        <w:trPr>
          <w:trHeight w:val="313" w:hRule="atLeast"/>
        </w:trPr>
        <w:tc>
          <w:tcPr>
            <w:tcW w:w="1408" w:type="dxa"/>
            <w:vMerge w:val="continue"/>
            <w:tcBorders>
              <w:top w:val="single" w:color="auto" w:sz="8" w:space="0"/>
              <w:left w:val="single" w:color="auto" w:sz="8" w:space="0"/>
              <w:bottom w:val="single" w:color="000000" w:sz="8" w:space="0"/>
              <w:right w:val="single" w:color="auto" w:sz="8" w:space="0"/>
            </w:tcBorders>
            <w:vAlign w:val="center"/>
          </w:tcPr>
          <w:p>
            <w:pPr>
              <w:spacing w:after="0" w:line="240" w:lineRule="auto"/>
              <w:ind w:firstLine="0" w:firstLineChars="0"/>
              <w:rPr>
                <w:rFonts w:ascii="仿宋_GB2312" w:hAnsi="DengXian" w:cs="宋体"/>
                <w:color w:val="000000"/>
                <w:kern w:val="0"/>
                <w:sz w:val="22"/>
              </w:rPr>
            </w:pPr>
          </w:p>
        </w:tc>
        <w:tc>
          <w:tcPr>
            <w:tcW w:w="1984" w:type="dxa"/>
            <w:gridSpan w:val="3"/>
            <w:tcBorders>
              <w:top w:val="single" w:color="auto" w:sz="8" w:space="0"/>
              <w:left w:val="single" w:color="auto" w:sz="8" w:space="0"/>
              <w:bottom w:val="single" w:color="auto" w:sz="8" w:space="0"/>
              <w:right w:val="single" w:color="000000" w:sz="8" w:space="0"/>
            </w:tcBorders>
            <w:shd w:val="clear" w:color="auto" w:fill="auto"/>
            <w:vAlign w:val="center"/>
          </w:tcPr>
          <w:p>
            <w:pPr>
              <w:spacing w:after="0" w:line="240" w:lineRule="auto"/>
              <w:ind w:firstLine="0" w:firstLineChars="0"/>
              <w:jc w:val="center"/>
              <w:rPr>
                <w:rFonts w:hint="eastAsia" w:ascii="仿宋_GB2312" w:hAnsi="DengXian" w:cs="宋体"/>
                <w:color w:val="000000"/>
                <w:kern w:val="0"/>
                <w:sz w:val="22"/>
              </w:rPr>
            </w:pPr>
            <w:r>
              <w:rPr>
                <w:rFonts w:hint="eastAsia" w:ascii="仿宋_GB2312" w:hAnsi="DengXian" w:cs="宋体"/>
                <w:color w:val="000000"/>
                <w:kern w:val="0"/>
                <w:sz w:val="22"/>
              </w:rPr>
              <w:t>入境游客</w:t>
            </w:r>
          </w:p>
        </w:tc>
        <w:tc>
          <w:tcPr>
            <w:tcW w:w="1560"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color w:val="000000"/>
                <w:kern w:val="0"/>
                <w:sz w:val="22"/>
              </w:rPr>
            </w:pPr>
            <w:r>
              <w:rPr>
                <w:rFonts w:hint="eastAsia" w:ascii="仿宋_GB2312" w:hAnsi="DengXian" w:cs="宋体"/>
                <w:color w:val="000000"/>
                <w:kern w:val="0"/>
                <w:sz w:val="22"/>
              </w:rPr>
              <w:t>万人次</w:t>
            </w:r>
          </w:p>
        </w:tc>
        <w:tc>
          <w:tcPr>
            <w:tcW w:w="1559"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6.21</w:t>
            </w:r>
          </w:p>
        </w:tc>
        <w:tc>
          <w:tcPr>
            <w:tcW w:w="1417"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4.58</w:t>
            </w:r>
          </w:p>
        </w:tc>
        <w:tc>
          <w:tcPr>
            <w:tcW w:w="1329"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35.59%</w:t>
            </w:r>
          </w:p>
        </w:tc>
        <w:tc>
          <w:tcPr>
            <w:tcW w:w="1157"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38.66</w:t>
            </w:r>
          </w:p>
        </w:tc>
        <w:tc>
          <w:tcPr>
            <w:tcW w:w="1157"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33.11</w:t>
            </w:r>
          </w:p>
        </w:tc>
        <w:tc>
          <w:tcPr>
            <w:tcW w:w="1158"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16.76%</w:t>
            </w:r>
          </w:p>
        </w:tc>
      </w:tr>
      <w:tr>
        <w:tblPrEx>
          <w:tblCellMar>
            <w:top w:w="0" w:type="dxa"/>
            <w:left w:w="108" w:type="dxa"/>
            <w:bottom w:w="0" w:type="dxa"/>
            <w:right w:w="108" w:type="dxa"/>
          </w:tblCellMar>
        </w:tblPrEx>
        <w:trPr>
          <w:trHeight w:val="313" w:hRule="atLeast"/>
        </w:trPr>
        <w:tc>
          <w:tcPr>
            <w:tcW w:w="1408"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color w:val="000000"/>
                <w:kern w:val="0"/>
                <w:sz w:val="22"/>
              </w:rPr>
            </w:pPr>
            <w:r>
              <w:rPr>
                <w:rFonts w:hint="eastAsia" w:ascii="仿宋_GB2312" w:hAnsi="DengXian" w:cs="宋体"/>
                <w:color w:val="000000"/>
                <w:kern w:val="0"/>
                <w:sz w:val="22"/>
              </w:rPr>
              <w:t>按市内、市外（省内外）分：</w:t>
            </w:r>
          </w:p>
        </w:tc>
        <w:tc>
          <w:tcPr>
            <w:tcW w:w="1984" w:type="dxa"/>
            <w:gridSpan w:val="3"/>
            <w:tcBorders>
              <w:top w:val="single" w:color="auto" w:sz="8" w:space="0"/>
              <w:left w:val="single" w:color="auto" w:sz="8" w:space="0"/>
              <w:bottom w:val="single" w:color="auto" w:sz="8" w:space="0"/>
              <w:right w:val="single" w:color="000000" w:sz="8" w:space="0"/>
            </w:tcBorders>
            <w:shd w:val="clear" w:color="auto" w:fill="auto"/>
            <w:vAlign w:val="center"/>
          </w:tcPr>
          <w:p>
            <w:pPr>
              <w:spacing w:after="0" w:line="240" w:lineRule="auto"/>
              <w:ind w:firstLine="0" w:firstLineChars="0"/>
              <w:jc w:val="center"/>
              <w:rPr>
                <w:rFonts w:hint="eastAsia" w:ascii="仿宋_GB2312" w:hAnsi="DengXian" w:cs="宋体"/>
                <w:color w:val="000000"/>
                <w:kern w:val="0"/>
                <w:sz w:val="22"/>
              </w:rPr>
            </w:pPr>
            <w:r>
              <w:rPr>
                <w:rFonts w:hint="eastAsia" w:ascii="仿宋_GB2312" w:hAnsi="DengXian" w:cs="宋体"/>
                <w:color w:val="000000"/>
                <w:kern w:val="0"/>
                <w:sz w:val="22"/>
              </w:rPr>
              <w:t>市内游客</w:t>
            </w:r>
          </w:p>
        </w:tc>
        <w:tc>
          <w:tcPr>
            <w:tcW w:w="1560"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color w:val="000000"/>
                <w:kern w:val="0"/>
                <w:sz w:val="22"/>
              </w:rPr>
            </w:pPr>
            <w:r>
              <w:rPr>
                <w:rFonts w:hint="eastAsia" w:ascii="仿宋_GB2312" w:hAnsi="DengXian" w:cs="宋体"/>
                <w:color w:val="000000"/>
                <w:kern w:val="0"/>
                <w:sz w:val="22"/>
              </w:rPr>
              <w:t>万人次</w:t>
            </w:r>
          </w:p>
        </w:tc>
        <w:tc>
          <w:tcPr>
            <w:tcW w:w="1559"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78.88</w:t>
            </w:r>
          </w:p>
        </w:tc>
        <w:tc>
          <w:tcPr>
            <w:tcW w:w="1417"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58.88</w:t>
            </w:r>
          </w:p>
        </w:tc>
        <w:tc>
          <w:tcPr>
            <w:tcW w:w="1329"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33.97%</w:t>
            </w:r>
          </w:p>
        </w:tc>
        <w:tc>
          <w:tcPr>
            <w:tcW w:w="1157"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555.63</w:t>
            </w:r>
          </w:p>
        </w:tc>
        <w:tc>
          <w:tcPr>
            <w:tcW w:w="1157"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564.7</w:t>
            </w:r>
          </w:p>
        </w:tc>
        <w:tc>
          <w:tcPr>
            <w:tcW w:w="1158"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-1.61%</w:t>
            </w:r>
          </w:p>
        </w:tc>
      </w:tr>
      <w:tr>
        <w:tblPrEx>
          <w:tblCellMar>
            <w:top w:w="0" w:type="dxa"/>
            <w:left w:w="108" w:type="dxa"/>
            <w:bottom w:w="0" w:type="dxa"/>
            <w:right w:w="108" w:type="dxa"/>
          </w:tblCellMar>
        </w:tblPrEx>
        <w:trPr>
          <w:trHeight w:val="313" w:hRule="atLeast"/>
        </w:trPr>
        <w:tc>
          <w:tcPr>
            <w:tcW w:w="1408" w:type="dxa"/>
            <w:vMerge w:val="continue"/>
            <w:tcBorders>
              <w:top w:val="single" w:color="auto" w:sz="8" w:space="0"/>
              <w:left w:val="single" w:color="auto" w:sz="8" w:space="0"/>
              <w:bottom w:val="single" w:color="000000" w:sz="8" w:space="0"/>
              <w:right w:val="single" w:color="auto" w:sz="8" w:space="0"/>
            </w:tcBorders>
            <w:vAlign w:val="center"/>
          </w:tcPr>
          <w:p>
            <w:pPr>
              <w:spacing w:after="0" w:line="240" w:lineRule="auto"/>
              <w:ind w:firstLine="0" w:firstLineChars="0"/>
              <w:rPr>
                <w:rFonts w:ascii="仿宋_GB2312" w:hAnsi="DengXian" w:cs="宋体"/>
                <w:color w:val="000000"/>
                <w:kern w:val="0"/>
                <w:sz w:val="22"/>
              </w:rPr>
            </w:pPr>
          </w:p>
        </w:tc>
        <w:tc>
          <w:tcPr>
            <w:tcW w:w="1134"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spacing w:after="0" w:line="240" w:lineRule="auto"/>
              <w:ind w:firstLine="0" w:firstLineChars="0"/>
              <w:jc w:val="center"/>
              <w:rPr>
                <w:rFonts w:hint="eastAsia" w:ascii="仿宋_GB2312" w:hAnsi="DengXian" w:cs="宋体"/>
                <w:color w:val="000000"/>
                <w:kern w:val="0"/>
                <w:sz w:val="22"/>
              </w:rPr>
            </w:pPr>
            <w:r>
              <w:rPr>
                <w:rFonts w:hint="eastAsia" w:ascii="仿宋_GB2312" w:hAnsi="DengXian" w:cs="宋体"/>
                <w:color w:val="000000"/>
                <w:kern w:val="0"/>
                <w:sz w:val="22"/>
              </w:rPr>
              <w:t>市外游客</w:t>
            </w:r>
          </w:p>
        </w:tc>
        <w:tc>
          <w:tcPr>
            <w:tcW w:w="850"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color w:val="000000"/>
                <w:kern w:val="0"/>
                <w:sz w:val="22"/>
              </w:rPr>
            </w:pPr>
            <w:r>
              <w:rPr>
                <w:rFonts w:hint="eastAsia" w:ascii="仿宋_GB2312" w:hAnsi="DengXian" w:cs="宋体"/>
                <w:color w:val="000000"/>
                <w:kern w:val="0"/>
                <w:sz w:val="22"/>
              </w:rPr>
              <w:t>省内</w:t>
            </w:r>
          </w:p>
        </w:tc>
        <w:tc>
          <w:tcPr>
            <w:tcW w:w="1560"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color w:val="000000"/>
                <w:kern w:val="0"/>
                <w:sz w:val="22"/>
              </w:rPr>
            </w:pPr>
            <w:r>
              <w:rPr>
                <w:rFonts w:hint="eastAsia" w:ascii="仿宋_GB2312" w:hAnsi="DengXian" w:cs="宋体"/>
                <w:color w:val="000000"/>
                <w:kern w:val="0"/>
                <w:sz w:val="22"/>
              </w:rPr>
              <w:t>万人次</w:t>
            </w:r>
          </w:p>
        </w:tc>
        <w:tc>
          <w:tcPr>
            <w:tcW w:w="1559"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34.98</w:t>
            </w:r>
          </w:p>
        </w:tc>
        <w:tc>
          <w:tcPr>
            <w:tcW w:w="1417"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23.92</w:t>
            </w:r>
          </w:p>
        </w:tc>
        <w:tc>
          <w:tcPr>
            <w:tcW w:w="1329"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46.24%</w:t>
            </w:r>
          </w:p>
        </w:tc>
        <w:tc>
          <w:tcPr>
            <w:tcW w:w="1157"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338.73</w:t>
            </w:r>
          </w:p>
        </w:tc>
        <w:tc>
          <w:tcPr>
            <w:tcW w:w="1157"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243.37</w:t>
            </w:r>
          </w:p>
        </w:tc>
        <w:tc>
          <w:tcPr>
            <w:tcW w:w="1158"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39.18%</w:t>
            </w:r>
          </w:p>
        </w:tc>
      </w:tr>
      <w:tr>
        <w:tblPrEx>
          <w:tblCellMar>
            <w:top w:w="0" w:type="dxa"/>
            <w:left w:w="108" w:type="dxa"/>
            <w:bottom w:w="0" w:type="dxa"/>
            <w:right w:w="108" w:type="dxa"/>
          </w:tblCellMar>
        </w:tblPrEx>
        <w:trPr>
          <w:trHeight w:val="313" w:hRule="atLeast"/>
        </w:trPr>
        <w:tc>
          <w:tcPr>
            <w:tcW w:w="1408" w:type="dxa"/>
            <w:vMerge w:val="continue"/>
            <w:tcBorders>
              <w:top w:val="single" w:color="auto" w:sz="8" w:space="0"/>
              <w:left w:val="single" w:color="auto" w:sz="8" w:space="0"/>
              <w:bottom w:val="single" w:color="000000" w:sz="8" w:space="0"/>
              <w:right w:val="single" w:color="auto" w:sz="8" w:space="0"/>
            </w:tcBorders>
            <w:vAlign w:val="center"/>
          </w:tcPr>
          <w:p>
            <w:pPr>
              <w:spacing w:after="0" w:line="240" w:lineRule="auto"/>
              <w:ind w:firstLine="0" w:firstLineChars="0"/>
              <w:rPr>
                <w:rFonts w:ascii="仿宋_GB2312" w:hAnsi="DengXian" w:cs="宋体"/>
                <w:color w:val="000000"/>
                <w:kern w:val="0"/>
                <w:sz w:val="22"/>
              </w:rPr>
            </w:pPr>
          </w:p>
        </w:tc>
        <w:tc>
          <w:tcPr>
            <w:tcW w:w="1134" w:type="dxa"/>
            <w:gridSpan w:val="2"/>
            <w:vMerge w:val="continue"/>
            <w:tcBorders>
              <w:top w:val="single" w:color="auto" w:sz="8" w:space="0"/>
              <w:left w:val="single" w:color="auto" w:sz="8" w:space="0"/>
              <w:bottom w:val="single" w:color="000000" w:sz="8" w:space="0"/>
              <w:right w:val="single" w:color="000000" w:sz="8" w:space="0"/>
            </w:tcBorders>
            <w:vAlign w:val="center"/>
          </w:tcPr>
          <w:p>
            <w:pPr>
              <w:spacing w:after="0" w:line="240" w:lineRule="auto"/>
              <w:ind w:firstLine="0" w:firstLineChars="0"/>
              <w:rPr>
                <w:rFonts w:ascii="仿宋_GB2312" w:hAnsi="DengXian" w:cs="宋体"/>
                <w:color w:val="000000"/>
                <w:kern w:val="0"/>
                <w:sz w:val="22"/>
              </w:rPr>
            </w:pPr>
          </w:p>
        </w:tc>
        <w:tc>
          <w:tcPr>
            <w:tcW w:w="850"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color w:val="000000"/>
                <w:kern w:val="0"/>
                <w:sz w:val="22"/>
              </w:rPr>
            </w:pPr>
            <w:r>
              <w:rPr>
                <w:rFonts w:hint="eastAsia" w:ascii="仿宋_GB2312" w:hAnsi="DengXian" w:cs="宋体"/>
                <w:color w:val="000000"/>
                <w:kern w:val="0"/>
                <w:sz w:val="22"/>
              </w:rPr>
              <w:t>省外</w:t>
            </w:r>
          </w:p>
        </w:tc>
        <w:tc>
          <w:tcPr>
            <w:tcW w:w="1560"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color w:val="000000"/>
                <w:kern w:val="0"/>
                <w:sz w:val="22"/>
              </w:rPr>
            </w:pPr>
            <w:r>
              <w:rPr>
                <w:rFonts w:hint="eastAsia" w:ascii="仿宋_GB2312" w:hAnsi="DengXian" w:cs="宋体"/>
                <w:color w:val="000000"/>
                <w:kern w:val="0"/>
                <w:sz w:val="22"/>
              </w:rPr>
              <w:t>万人次</w:t>
            </w:r>
          </w:p>
        </w:tc>
        <w:tc>
          <w:tcPr>
            <w:tcW w:w="1559"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38.29</w:t>
            </w:r>
          </w:p>
        </w:tc>
        <w:tc>
          <w:tcPr>
            <w:tcW w:w="1417"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32.3</w:t>
            </w:r>
          </w:p>
        </w:tc>
        <w:tc>
          <w:tcPr>
            <w:tcW w:w="1329"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18.54%</w:t>
            </w:r>
          </w:p>
        </w:tc>
        <w:tc>
          <w:tcPr>
            <w:tcW w:w="1157"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387.53</w:t>
            </w:r>
          </w:p>
        </w:tc>
        <w:tc>
          <w:tcPr>
            <w:tcW w:w="1157"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249.02</w:t>
            </w:r>
          </w:p>
        </w:tc>
        <w:tc>
          <w:tcPr>
            <w:tcW w:w="1158"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55.62%</w:t>
            </w:r>
          </w:p>
        </w:tc>
      </w:tr>
      <w:tr>
        <w:tblPrEx>
          <w:tblCellMar>
            <w:top w:w="0" w:type="dxa"/>
            <w:left w:w="108" w:type="dxa"/>
            <w:bottom w:w="0" w:type="dxa"/>
            <w:right w:w="108" w:type="dxa"/>
          </w:tblCellMar>
        </w:tblPrEx>
        <w:trPr>
          <w:trHeight w:val="313" w:hRule="atLeast"/>
        </w:trPr>
        <w:tc>
          <w:tcPr>
            <w:tcW w:w="1408"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color w:val="000000"/>
                <w:kern w:val="0"/>
                <w:sz w:val="22"/>
              </w:rPr>
            </w:pPr>
            <w:r>
              <w:rPr>
                <w:rFonts w:hint="eastAsia" w:ascii="仿宋_GB2312" w:hAnsi="DengXian" w:cs="宋体"/>
                <w:color w:val="000000"/>
                <w:kern w:val="0"/>
                <w:sz w:val="22"/>
              </w:rPr>
              <w:t>按是否过夜分：</w:t>
            </w:r>
          </w:p>
        </w:tc>
        <w:tc>
          <w:tcPr>
            <w:tcW w:w="1984" w:type="dxa"/>
            <w:gridSpan w:val="3"/>
            <w:tcBorders>
              <w:top w:val="single" w:color="auto" w:sz="8" w:space="0"/>
              <w:left w:val="single" w:color="auto" w:sz="8" w:space="0"/>
              <w:bottom w:val="single" w:color="auto" w:sz="8" w:space="0"/>
              <w:right w:val="single" w:color="000000" w:sz="8" w:space="0"/>
            </w:tcBorders>
            <w:shd w:val="clear" w:color="auto" w:fill="auto"/>
            <w:vAlign w:val="center"/>
          </w:tcPr>
          <w:p>
            <w:pPr>
              <w:spacing w:after="0" w:line="240" w:lineRule="auto"/>
              <w:ind w:firstLine="0" w:firstLineChars="0"/>
              <w:jc w:val="center"/>
              <w:rPr>
                <w:rFonts w:hint="eastAsia" w:ascii="仿宋_GB2312" w:hAnsi="DengXian" w:cs="宋体"/>
                <w:color w:val="000000"/>
                <w:kern w:val="0"/>
                <w:sz w:val="22"/>
              </w:rPr>
            </w:pPr>
            <w:r>
              <w:rPr>
                <w:rFonts w:hint="eastAsia" w:ascii="仿宋_GB2312" w:hAnsi="DengXian" w:cs="宋体"/>
                <w:color w:val="000000"/>
                <w:kern w:val="0"/>
                <w:sz w:val="22"/>
              </w:rPr>
              <w:t>过夜游客</w:t>
            </w:r>
          </w:p>
        </w:tc>
        <w:tc>
          <w:tcPr>
            <w:tcW w:w="1560"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color w:val="000000"/>
                <w:kern w:val="0"/>
                <w:sz w:val="22"/>
              </w:rPr>
            </w:pPr>
            <w:r>
              <w:rPr>
                <w:rFonts w:hint="eastAsia" w:ascii="仿宋_GB2312" w:hAnsi="DengXian" w:cs="宋体"/>
                <w:color w:val="000000"/>
                <w:kern w:val="0"/>
                <w:sz w:val="22"/>
              </w:rPr>
              <w:t>万人次</w:t>
            </w:r>
          </w:p>
        </w:tc>
        <w:tc>
          <w:tcPr>
            <w:tcW w:w="1559"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13.53</w:t>
            </w:r>
          </w:p>
        </w:tc>
        <w:tc>
          <w:tcPr>
            <w:tcW w:w="1417"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11.1</w:t>
            </w:r>
          </w:p>
        </w:tc>
        <w:tc>
          <w:tcPr>
            <w:tcW w:w="1329"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21.89%</w:t>
            </w:r>
          </w:p>
        </w:tc>
        <w:tc>
          <w:tcPr>
            <w:tcW w:w="1157"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161.37</w:t>
            </w:r>
          </w:p>
        </w:tc>
        <w:tc>
          <w:tcPr>
            <w:tcW w:w="1157"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108.31</w:t>
            </w:r>
          </w:p>
        </w:tc>
        <w:tc>
          <w:tcPr>
            <w:tcW w:w="1158"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48.99%</w:t>
            </w:r>
          </w:p>
        </w:tc>
      </w:tr>
      <w:tr>
        <w:tblPrEx>
          <w:tblCellMar>
            <w:top w:w="0" w:type="dxa"/>
            <w:left w:w="108" w:type="dxa"/>
            <w:bottom w:w="0" w:type="dxa"/>
            <w:right w:w="108" w:type="dxa"/>
          </w:tblCellMar>
        </w:tblPrEx>
        <w:trPr>
          <w:trHeight w:val="313" w:hRule="atLeast"/>
        </w:trPr>
        <w:tc>
          <w:tcPr>
            <w:tcW w:w="1408" w:type="dxa"/>
            <w:vMerge w:val="continue"/>
            <w:tcBorders>
              <w:top w:val="single" w:color="auto" w:sz="8" w:space="0"/>
              <w:left w:val="single" w:color="auto" w:sz="8" w:space="0"/>
              <w:bottom w:val="single" w:color="000000" w:sz="8" w:space="0"/>
              <w:right w:val="single" w:color="auto" w:sz="8" w:space="0"/>
            </w:tcBorders>
            <w:vAlign w:val="center"/>
          </w:tcPr>
          <w:p>
            <w:pPr>
              <w:spacing w:after="0" w:line="240" w:lineRule="auto"/>
              <w:ind w:firstLine="0" w:firstLineChars="0"/>
              <w:rPr>
                <w:rFonts w:ascii="仿宋_GB2312" w:hAnsi="DengXian" w:cs="宋体"/>
                <w:color w:val="000000"/>
                <w:kern w:val="0"/>
                <w:sz w:val="22"/>
              </w:rPr>
            </w:pPr>
          </w:p>
        </w:tc>
        <w:tc>
          <w:tcPr>
            <w:tcW w:w="1984" w:type="dxa"/>
            <w:gridSpan w:val="3"/>
            <w:tcBorders>
              <w:top w:val="single" w:color="auto" w:sz="8" w:space="0"/>
              <w:left w:val="single" w:color="auto" w:sz="8" w:space="0"/>
              <w:bottom w:val="single" w:color="auto" w:sz="8" w:space="0"/>
              <w:right w:val="single" w:color="000000" w:sz="8" w:space="0"/>
            </w:tcBorders>
            <w:shd w:val="clear" w:color="auto" w:fill="auto"/>
            <w:vAlign w:val="center"/>
          </w:tcPr>
          <w:p>
            <w:pPr>
              <w:spacing w:after="0" w:line="240" w:lineRule="auto"/>
              <w:ind w:firstLine="0" w:firstLineChars="0"/>
              <w:jc w:val="center"/>
              <w:rPr>
                <w:rFonts w:hint="eastAsia" w:ascii="仿宋_GB2312" w:hAnsi="DengXian" w:cs="宋体"/>
                <w:color w:val="000000"/>
                <w:kern w:val="0"/>
                <w:sz w:val="22"/>
              </w:rPr>
            </w:pPr>
            <w:r>
              <w:rPr>
                <w:rFonts w:hint="eastAsia" w:ascii="仿宋_GB2312" w:hAnsi="DengXian" w:cs="宋体"/>
                <w:color w:val="000000"/>
                <w:kern w:val="0"/>
                <w:sz w:val="22"/>
              </w:rPr>
              <w:t>一日游游客</w:t>
            </w:r>
          </w:p>
        </w:tc>
        <w:tc>
          <w:tcPr>
            <w:tcW w:w="1560"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color w:val="000000"/>
                <w:kern w:val="0"/>
                <w:sz w:val="22"/>
              </w:rPr>
            </w:pPr>
            <w:r>
              <w:rPr>
                <w:rFonts w:hint="eastAsia" w:ascii="仿宋_GB2312" w:hAnsi="DengXian" w:cs="宋体"/>
                <w:color w:val="000000"/>
                <w:kern w:val="0"/>
                <w:sz w:val="22"/>
              </w:rPr>
              <w:t>万人次</w:t>
            </w:r>
          </w:p>
        </w:tc>
        <w:tc>
          <w:tcPr>
            <w:tcW w:w="1559"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138.62</w:t>
            </w:r>
          </w:p>
        </w:tc>
        <w:tc>
          <w:tcPr>
            <w:tcW w:w="1417"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104</w:t>
            </w:r>
          </w:p>
        </w:tc>
        <w:tc>
          <w:tcPr>
            <w:tcW w:w="1329"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33.29%</w:t>
            </w:r>
          </w:p>
        </w:tc>
        <w:tc>
          <w:tcPr>
            <w:tcW w:w="1157"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1118.51</w:t>
            </w:r>
          </w:p>
        </w:tc>
        <w:tc>
          <w:tcPr>
            <w:tcW w:w="1157"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948.78</w:t>
            </w:r>
          </w:p>
        </w:tc>
        <w:tc>
          <w:tcPr>
            <w:tcW w:w="1158"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17.89%</w:t>
            </w:r>
          </w:p>
        </w:tc>
      </w:tr>
      <w:tr>
        <w:tblPrEx>
          <w:tblCellMar>
            <w:top w:w="0" w:type="dxa"/>
            <w:left w:w="108" w:type="dxa"/>
            <w:bottom w:w="0" w:type="dxa"/>
            <w:right w:w="108" w:type="dxa"/>
          </w:tblCellMar>
        </w:tblPrEx>
        <w:trPr>
          <w:trHeight w:val="313" w:hRule="atLeast"/>
        </w:trPr>
        <w:tc>
          <w:tcPr>
            <w:tcW w:w="3392" w:type="dxa"/>
            <w:gridSpan w:val="4"/>
            <w:tcBorders>
              <w:top w:val="single" w:color="auto" w:sz="8" w:space="0"/>
              <w:left w:val="single" w:color="auto" w:sz="8" w:space="0"/>
              <w:bottom w:val="single" w:color="auto" w:sz="8" w:space="0"/>
              <w:right w:val="single" w:color="000000" w:sz="8" w:space="0"/>
            </w:tcBorders>
            <w:shd w:val="clear" w:color="auto" w:fill="auto"/>
            <w:vAlign w:val="center"/>
          </w:tcPr>
          <w:p>
            <w:pPr>
              <w:spacing w:after="0" w:line="240" w:lineRule="auto"/>
              <w:ind w:firstLine="0" w:firstLineChars="0"/>
              <w:rPr>
                <w:rFonts w:hint="eastAsia" w:ascii="仿宋_GB2312" w:hAnsi="DengXian" w:cs="宋体"/>
                <w:b/>
                <w:bCs/>
                <w:color w:val="000000"/>
                <w:kern w:val="0"/>
                <w:sz w:val="22"/>
              </w:rPr>
            </w:pPr>
            <w:r>
              <w:rPr>
                <w:rFonts w:hint="eastAsia" w:ascii="仿宋_GB2312" w:hAnsi="DengXian" w:cs="宋体"/>
                <w:b/>
                <w:bCs/>
                <w:color w:val="000000"/>
                <w:kern w:val="0"/>
                <w:sz w:val="22"/>
              </w:rPr>
              <w:t>2.国内旅游业总收入</w:t>
            </w:r>
          </w:p>
        </w:tc>
        <w:tc>
          <w:tcPr>
            <w:tcW w:w="1560"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亿 元</w:t>
            </w:r>
          </w:p>
        </w:tc>
        <w:tc>
          <w:tcPr>
            <w:tcW w:w="1559"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10.3</w:t>
            </w:r>
          </w:p>
        </w:tc>
        <w:tc>
          <w:tcPr>
            <w:tcW w:w="1417"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5.93</w:t>
            </w:r>
          </w:p>
        </w:tc>
        <w:tc>
          <w:tcPr>
            <w:tcW w:w="1329"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73.69%</w:t>
            </w:r>
          </w:p>
        </w:tc>
        <w:tc>
          <w:tcPr>
            <w:tcW w:w="1157"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71.66</w:t>
            </w:r>
          </w:p>
        </w:tc>
        <w:tc>
          <w:tcPr>
            <w:tcW w:w="1157"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53.88</w:t>
            </w:r>
          </w:p>
        </w:tc>
        <w:tc>
          <w:tcPr>
            <w:tcW w:w="1158"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33.00%</w:t>
            </w:r>
          </w:p>
        </w:tc>
      </w:tr>
      <w:tr>
        <w:tblPrEx>
          <w:tblCellMar>
            <w:top w:w="0" w:type="dxa"/>
            <w:left w:w="108" w:type="dxa"/>
            <w:bottom w:w="0" w:type="dxa"/>
            <w:right w:w="108" w:type="dxa"/>
          </w:tblCellMar>
        </w:tblPrEx>
        <w:trPr>
          <w:trHeight w:val="313" w:hRule="atLeast"/>
        </w:trPr>
        <w:tc>
          <w:tcPr>
            <w:tcW w:w="3392" w:type="dxa"/>
            <w:gridSpan w:val="4"/>
            <w:tcBorders>
              <w:top w:val="single" w:color="auto" w:sz="8" w:space="0"/>
              <w:left w:val="single" w:color="auto" w:sz="8" w:space="0"/>
              <w:bottom w:val="single" w:color="auto" w:sz="8" w:space="0"/>
              <w:right w:val="single" w:color="000000" w:sz="8" w:space="0"/>
            </w:tcBorders>
            <w:shd w:val="clear" w:color="auto" w:fill="auto"/>
            <w:vAlign w:val="center"/>
          </w:tcPr>
          <w:p>
            <w:pPr>
              <w:spacing w:after="0" w:line="240" w:lineRule="auto"/>
              <w:ind w:firstLine="0" w:firstLineChars="0"/>
              <w:jc w:val="center"/>
              <w:rPr>
                <w:rFonts w:hint="eastAsia" w:ascii="仿宋_GB2312" w:hAnsi="DengXian" w:cs="宋体"/>
                <w:color w:val="000000"/>
                <w:kern w:val="0"/>
                <w:sz w:val="22"/>
              </w:rPr>
            </w:pPr>
            <w:r>
              <w:rPr>
                <w:rFonts w:hint="eastAsia" w:ascii="仿宋_GB2312" w:hAnsi="DengXian" w:cs="宋体"/>
                <w:color w:val="000000"/>
                <w:kern w:val="0"/>
                <w:sz w:val="22"/>
              </w:rPr>
              <w:t>市内旅游收入</w:t>
            </w:r>
          </w:p>
        </w:tc>
        <w:tc>
          <w:tcPr>
            <w:tcW w:w="1560"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color w:val="000000"/>
                <w:kern w:val="0"/>
                <w:sz w:val="22"/>
              </w:rPr>
            </w:pPr>
            <w:r>
              <w:rPr>
                <w:rFonts w:hint="eastAsia" w:ascii="仿宋_GB2312" w:hAnsi="DengXian" w:cs="宋体"/>
                <w:color w:val="000000"/>
                <w:kern w:val="0"/>
                <w:sz w:val="22"/>
              </w:rPr>
              <w:t>亿 元</w:t>
            </w:r>
          </w:p>
        </w:tc>
        <w:tc>
          <w:tcPr>
            <w:tcW w:w="1559"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4.16</w:t>
            </w:r>
          </w:p>
        </w:tc>
        <w:tc>
          <w:tcPr>
            <w:tcW w:w="1417"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2.27</w:t>
            </w:r>
          </w:p>
        </w:tc>
        <w:tc>
          <w:tcPr>
            <w:tcW w:w="1329"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83.26%</w:t>
            </w:r>
          </w:p>
        </w:tc>
        <w:tc>
          <w:tcPr>
            <w:tcW w:w="1157"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23.68</w:t>
            </w:r>
          </w:p>
        </w:tc>
        <w:tc>
          <w:tcPr>
            <w:tcW w:w="1157"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20.95</w:t>
            </w:r>
          </w:p>
        </w:tc>
        <w:tc>
          <w:tcPr>
            <w:tcW w:w="1158"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13.03%</w:t>
            </w:r>
          </w:p>
        </w:tc>
      </w:tr>
      <w:tr>
        <w:tblPrEx>
          <w:tblCellMar>
            <w:top w:w="0" w:type="dxa"/>
            <w:left w:w="108" w:type="dxa"/>
            <w:bottom w:w="0" w:type="dxa"/>
            <w:right w:w="108" w:type="dxa"/>
          </w:tblCellMar>
        </w:tblPrEx>
        <w:trPr>
          <w:trHeight w:val="313" w:hRule="atLeast"/>
        </w:trPr>
        <w:tc>
          <w:tcPr>
            <w:tcW w:w="2314"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spacing w:after="0" w:line="240" w:lineRule="auto"/>
              <w:ind w:firstLine="0" w:firstLineChars="0"/>
              <w:jc w:val="center"/>
              <w:rPr>
                <w:rFonts w:hint="eastAsia" w:ascii="仿宋_GB2312" w:hAnsi="DengXian" w:cs="宋体"/>
                <w:color w:val="000000"/>
                <w:kern w:val="0"/>
                <w:sz w:val="22"/>
              </w:rPr>
            </w:pPr>
            <w:r>
              <w:rPr>
                <w:rFonts w:hint="eastAsia" w:ascii="仿宋_GB2312" w:hAnsi="DengXian" w:cs="宋体"/>
                <w:color w:val="000000"/>
                <w:kern w:val="0"/>
                <w:sz w:val="22"/>
              </w:rPr>
              <w:t>市外旅游收入</w:t>
            </w:r>
          </w:p>
        </w:tc>
        <w:tc>
          <w:tcPr>
            <w:tcW w:w="1078" w:type="dxa"/>
            <w:gridSpan w:val="2"/>
            <w:tcBorders>
              <w:top w:val="single" w:color="auto" w:sz="8" w:space="0"/>
              <w:left w:val="single" w:color="auto" w:sz="8" w:space="0"/>
              <w:bottom w:val="single" w:color="auto" w:sz="8" w:space="0"/>
              <w:right w:val="single" w:color="000000" w:sz="8" w:space="0"/>
            </w:tcBorders>
            <w:shd w:val="clear" w:color="auto" w:fill="auto"/>
            <w:vAlign w:val="center"/>
          </w:tcPr>
          <w:p>
            <w:pPr>
              <w:spacing w:after="0" w:line="240" w:lineRule="auto"/>
              <w:ind w:firstLine="0" w:firstLineChars="0"/>
              <w:jc w:val="center"/>
              <w:rPr>
                <w:rFonts w:hint="eastAsia" w:ascii="仿宋_GB2312" w:hAnsi="DengXian" w:cs="宋体"/>
                <w:color w:val="000000"/>
                <w:kern w:val="0"/>
                <w:sz w:val="22"/>
              </w:rPr>
            </w:pPr>
            <w:r>
              <w:rPr>
                <w:rFonts w:hint="eastAsia" w:ascii="仿宋_GB2312" w:hAnsi="DengXian" w:cs="宋体"/>
                <w:color w:val="000000"/>
                <w:kern w:val="0"/>
                <w:sz w:val="22"/>
              </w:rPr>
              <w:t>省内</w:t>
            </w:r>
          </w:p>
        </w:tc>
        <w:tc>
          <w:tcPr>
            <w:tcW w:w="1560"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color w:val="000000"/>
                <w:kern w:val="0"/>
                <w:sz w:val="22"/>
              </w:rPr>
            </w:pPr>
            <w:r>
              <w:rPr>
                <w:rFonts w:hint="eastAsia" w:ascii="仿宋_GB2312" w:hAnsi="DengXian" w:cs="宋体"/>
                <w:color w:val="000000"/>
                <w:kern w:val="0"/>
                <w:sz w:val="22"/>
              </w:rPr>
              <w:t>亿 元</w:t>
            </w:r>
          </w:p>
        </w:tc>
        <w:tc>
          <w:tcPr>
            <w:tcW w:w="1559"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3.09</w:t>
            </w:r>
          </w:p>
        </w:tc>
        <w:tc>
          <w:tcPr>
            <w:tcW w:w="1417"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1.35</w:t>
            </w:r>
          </w:p>
        </w:tc>
        <w:tc>
          <w:tcPr>
            <w:tcW w:w="1329"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128.89%</w:t>
            </w:r>
          </w:p>
        </w:tc>
        <w:tc>
          <w:tcPr>
            <w:tcW w:w="1157"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21.98</w:t>
            </w:r>
          </w:p>
        </w:tc>
        <w:tc>
          <w:tcPr>
            <w:tcW w:w="1157"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14.84</w:t>
            </w:r>
          </w:p>
        </w:tc>
        <w:tc>
          <w:tcPr>
            <w:tcW w:w="1158"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48.11%</w:t>
            </w:r>
          </w:p>
        </w:tc>
      </w:tr>
      <w:tr>
        <w:tblPrEx>
          <w:tblCellMar>
            <w:top w:w="0" w:type="dxa"/>
            <w:left w:w="108" w:type="dxa"/>
            <w:bottom w:w="0" w:type="dxa"/>
            <w:right w:w="108" w:type="dxa"/>
          </w:tblCellMar>
        </w:tblPrEx>
        <w:trPr>
          <w:trHeight w:val="313" w:hRule="atLeast"/>
        </w:trPr>
        <w:tc>
          <w:tcPr>
            <w:tcW w:w="2314" w:type="dxa"/>
            <w:gridSpan w:val="2"/>
            <w:vMerge w:val="continue"/>
            <w:tcBorders>
              <w:top w:val="single" w:color="auto" w:sz="8" w:space="0"/>
              <w:left w:val="single" w:color="auto" w:sz="8" w:space="0"/>
              <w:bottom w:val="single" w:color="000000" w:sz="8" w:space="0"/>
              <w:right w:val="single" w:color="000000" w:sz="8" w:space="0"/>
            </w:tcBorders>
            <w:vAlign w:val="center"/>
          </w:tcPr>
          <w:p>
            <w:pPr>
              <w:spacing w:after="0" w:line="240" w:lineRule="auto"/>
              <w:ind w:firstLine="0" w:firstLineChars="0"/>
              <w:rPr>
                <w:rFonts w:ascii="仿宋_GB2312" w:hAnsi="DengXian" w:cs="宋体"/>
                <w:color w:val="000000"/>
                <w:kern w:val="0"/>
                <w:sz w:val="22"/>
              </w:rPr>
            </w:pPr>
          </w:p>
        </w:tc>
        <w:tc>
          <w:tcPr>
            <w:tcW w:w="1078" w:type="dxa"/>
            <w:gridSpan w:val="2"/>
            <w:tcBorders>
              <w:top w:val="single" w:color="auto" w:sz="8" w:space="0"/>
              <w:left w:val="single" w:color="auto" w:sz="8" w:space="0"/>
              <w:bottom w:val="single" w:color="auto" w:sz="8" w:space="0"/>
              <w:right w:val="single" w:color="000000" w:sz="8" w:space="0"/>
            </w:tcBorders>
            <w:shd w:val="clear" w:color="auto" w:fill="auto"/>
            <w:vAlign w:val="center"/>
          </w:tcPr>
          <w:p>
            <w:pPr>
              <w:spacing w:after="0" w:line="240" w:lineRule="auto"/>
              <w:ind w:firstLine="0" w:firstLineChars="0"/>
              <w:jc w:val="center"/>
              <w:rPr>
                <w:rFonts w:hint="eastAsia" w:ascii="仿宋_GB2312" w:hAnsi="DengXian" w:cs="宋体"/>
                <w:color w:val="000000"/>
                <w:kern w:val="0"/>
                <w:sz w:val="22"/>
              </w:rPr>
            </w:pPr>
            <w:r>
              <w:rPr>
                <w:rFonts w:hint="eastAsia" w:ascii="仿宋_GB2312" w:hAnsi="DengXian" w:cs="宋体"/>
                <w:color w:val="000000"/>
                <w:kern w:val="0"/>
                <w:sz w:val="22"/>
              </w:rPr>
              <w:t>省外</w:t>
            </w:r>
          </w:p>
        </w:tc>
        <w:tc>
          <w:tcPr>
            <w:tcW w:w="1560"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color w:val="000000"/>
                <w:kern w:val="0"/>
                <w:sz w:val="22"/>
              </w:rPr>
            </w:pPr>
            <w:r>
              <w:rPr>
                <w:rFonts w:hint="eastAsia" w:ascii="仿宋_GB2312" w:hAnsi="DengXian" w:cs="宋体"/>
                <w:color w:val="000000"/>
                <w:kern w:val="0"/>
                <w:sz w:val="22"/>
              </w:rPr>
              <w:t>亿 元</w:t>
            </w:r>
          </w:p>
        </w:tc>
        <w:tc>
          <w:tcPr>
            <w:tcW w:w="1559"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2.78</w:t>
            </w:r>
          </w:p>
        </w:tc>
        <w:tc>
          <w:tcPr>
            <w:tcW w:w="1417"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2.31</w:t>
            </w:r>
          </w:p>
        </w:tc>
        <w:tc>
          <w:tcPr>
            <w:tcW w:w="1329"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20.35%</w:t>
            </w:r>
          </w:p>
        </w:tc>
        <w:tc>
          <w:tcPr>
            <w:tcW w:w="1157"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25.76</w:t>
            </w:r>
          </w:p>
        </w:tc>
        <w:tc>
          <w:tcPr>
            <w:tcW w:w="1157"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18.09</w:t>
            </w:r>
          </w:p>
        </w:tc>
        <w:tc>
          <w:tcPr>
            <w:tcW w:w="1158"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42.40%</w:t>
            </w:r>
          </w:p>
        </w:tc>
      </w:tr>
      <w:tr>
        <w:tblPrEx>
          <w:tblCellMar>
            <w:top w:w="0" w:type="dxa"/>
            <w:left w:w="108" w:type="dxa"/>
            <w:bottom w:w="0" w:type="dxa"/>
            <w:right w:w="108" w:type="dxa"/>
          </w:tblCellMar>
        </w:tblPrEx>
        <w:trPr>
          <w:trHeight w:val="313" w:hRule="atLeast"/>
        </w:trPr>
        <w:tc>
          <w:tcPr>
            <w:tcW w:w="3392" w:type="dxa"/>
            <w:gridSpan w:val="4"/>
            <w:tcBorders>
              <w:top w:val="single" w:color="auto" w:sz="8" w:space="0"/>
              <w:left w:val="single" w:color="auto" w:sz="8" w:space="0"/>
              <w:bottom w:val="single" w:color="auto" w:sz="8" w:space="0"/>
              <w:right w:val="single" w:color="000000" w:sz="8" w:space="0"/>
            </w:tcBorders>
            <w:shd w:val="clear" w:color="auto" w:fill="auto"/>
            <w:vAlign w:val="center"/>
          </w:tcPr>
          <w:p>
            <w:pPr>
              <w:spacing w:after="0" w:line="240" w:lineRule="auto"/>
              <w:ind w:firstLine="0" w:firstLineChars="0"/>
              <w:rPr>
                <w:rFonts w:hint="eastAsia" w:ascii="仿宋_GB2312" w:hAnsi="DengXian" w:cs="宋体"/>
                <w:b/>
                <w:bCs/>
                <w:color w:val="000000"/>
                <w:kern w:val="0"/>
                <w:sz w:val="22"/>
              </w:rPr>
            </w:pPr>
            <w:r>
              <w:rPr>
                <w:rFonts w:hint="eastAsia" w:ascii="仿宋_GB2312" w:hAnsi="DengXian" w:cs="宋体"/>
                <w:b/>
                <w:bCs/>
                <w:color w:val="000000"/>
                <w:kern w:val="0"/>
                <w:sz w:val="22"/>
              </w:rPr>
              <w:t>3.热门旅游片区接待人数</w:t>
            </w:r>
          </w:p>
        </w:tc>
        <w:tc>
          <w:tcPr>
            <w:tcW w:w="1560"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万人次</w:t>
            </w:r>
          </w:p>
        </w:tc>
        <w:tc>
          <w:tcPr>
            <w:tcW w:w="1559"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136.95</w:t>
            </w:r>
          </w:p>
        </w:tc>
        <w:tc>
          <w:tcPr>
            <w:tcW w:w="1417"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86.17</w:t>
            </w:r>
          </w:p>
        </w:tc>
        <w:tc>
          <w:tcPr>
            <w:tcW w:w="1329"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58.93%</w:t>
            </w:r>
          </w:p>
        </w:tc>
        <w:tc>
          <w:tcPr>
            <w:tcW w:w="1157"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1105.81</w:t>
            </w:r>
          </w:p>
        </w:tc>
        <w:tc>
          <w:tcPr>
            <w:tcW w:w="1157"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770.53</w:t>
            </w:r>
          </w:p>
        </w:tc>
        <w:tc>
          <w:tcPr>
            <w:tcW w:w="1158"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43.51%</w:t>
            </w:r>
          </w:p>
        </w:tc>
      </w:tr>
      <w:tr>
        <w:tblPrEx>
          <w:tblCellMar>
            <w:top w:w="0" w:type="dxa"/>
            <w:left w:w="108" w:type="dxa"/>
            <w:bottom w:w="0" w:type="dxa"/>
            <w:right w:w="108" w:type="dxa"/>
          </w:tblCellMar>
        </w:tblPrEx>
        <w:trPr>
          <w:trHeight w:val="313" w:hRule="atLeast"/>
        </w:trPr>
        <w:tc>
          <w:tcPr>
            <w:tcW w:w="3392" w:type="dxa"/>
            <w:gridSpan w:val="4"/>
            <w:tcBorders>
              <w:top w:val="single" w:color="auto" w:sz="8" w:space="0"/>
              <w:left w:val="single" w:color="auto" w:sz="8" w:space="0"/>
              <w:bottom w:val="single" w:color="auto" w:sz="8" w:space="0"/>
              <w:right w:val="single" w:color="000000" w:sz="8" w:space="0"/>
            </w:tcBorders>
            <w:shd w:val="clear" w:color="auto" w:fill="auto"/>
            <w:vAlign w:val="center"/>
          </w:tcPr>
          <w:p>
            <w:pPr>
              <w:spacing w:after="0" w:line="240" w:lineRule="auto"/>
              <w:ind w:firstLine="0" w:firstLineChars="0"/>
              <w:jc w:val="center"/>
              <w:rPr>
                <w:rFonts w:hint="eastAsia" w:ascii="仿宋_GB2312" w:hAnsi="DengXian" w:cs="宋体"/>
                <w:color w:val="000000"/>
                <w:kern w:val="0"/>
                <w:sz w:val="22"/>
              </w:rPr>
            </w:pPr>
            <w:r>
              <w:rPr>
                <w:rFonts w:hint="eastAsia" w:ascii="仿宋_GB2312" w:hAnsi="DengXian" w:cs="宋体"/>
                <w:color w:val="000000"/>
                <w:kern w:val="0"/>
                <w:sz w:val="22"/>
              </w:rPr>
              <w:t>大鹏所城-较场尾片区</w:t>
            </w:r>
          </w:p>
        </w:tc>
        <w:tc>
          <w:tcPr>
            <w:tcW w:w="1560"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color w:val="000000"/>
                <w:kern w:val="0"/>
                <w:sz w:val="22"/>
              </w:rPr>
            </w:pPr>
            <w:r>
              <w:rPr>
                <w:rFonts w:hint="eastAsia" w:ascii="仿宋_GB2312" w:hAnsi="DengXian" w:cs="宋体"/>
                <w:color w:val="000000"/>
                <w:kern w:val="0"/>
                <w:sz w:val="22"/>
              </w:rPr>
              <w:t>万人次</w:t>
            </w:r>
          </w:p>
        </w:tc>
        <w:tc>
          <w:tcPr>
            <w:tcW w:w="1559"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46.58</w:t>
            </w:r>
          </w:p>
        </w:tc>
        <w:tc>
          <w:tcPr>
            <w:tcW w:w="1417"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17.37</w:t>
            </w:r>
          </w:p>
        </w:tc>
        <w:tc>
          <w:tcPr>
            <w:tcW w:w="1329"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168.16%</w:t>
            </w:r>
          </w:p>
        </w:tc>
        <w:tc>
          <w:tcPr>
            <w:tcW w:w="1157"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354.88</w:t>
            </w:r>
          </w:p>
        </w:tc>
        <w:tc>
          <w:tcPr>
            <w:tcW w:w="1157"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213.42</w:t>
            </w:r>
          </w:p>
        </w:tc>
        <w:tc>
          <w:tcPr>
            <w:tcW w:w="1158"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66.28%</w:t>
            </w:r>
          </w:p>
        </w:tc>
      </w:tr>
      <w:tr>
        <w:tblPrEx>
          <w:tblCellMar>
            <w:top w:w="0" w:type="dxa"/>
            <w:left w:w="108" w:type="dxa"/>
            <w:bottom w:w="0" w:type="dxa"/>
            <w:right w:w="108" w:type="dxa"/>
          </w:tblCellMar>
        </w:tblPrEx>
        <w:trPr>
          <w:trHeight w:val="313" w:hRule="atLeast"/>
        </w:trPr>
        <w:tc>
          <w:tcPr>
            <w:tcW w:w="3392" w:type="dxa"/>
            <w:gridSpan w:val="4"/>
            <w:tcBorders>
              <w:top w:val="single" w:color="auto" w:sz="8" w:space="0"/>
              <w:left w:val="single" w:color="auto" w:sz="8" w:space="0"/>
              <w:bottom w:val="single" w:color="auto" w:sz="8" w:space="0"/>
              <w:right w:val="single" w:color="000000" w:sz="8" w:space="0"/>
            </w:tcBorders>
            <w:shd w:val="clear" w:color="auto" w:fill="auto"/>
            <w:vAlign w:val="center"/>
          </w:tcPr>
          <w:p>
            <w:pPr>
              <w:spacing w:after="0" w:line="240" w:lineRule="auto"/>
              <w:ind w:firstLine="0" w:firstLineChars="0"/>
              <w:jc w:val="center"/>
              <w:rPr>
                <w:rFonts w:hint="eastAsia" w:ascii="仿宋_GB2312" w:hAnsi="DengXian" w:cs="宋体"/>
                <w:color w:val="000000"/>
                <w:kern w:val="0"/>
                <w:sz w:val="22"/>
              </w:rPr>
            </w:pPr>
            <w:r>
              <w:rPr>
                <w:rFonts w:hint="eastAsia" w:ascii="仿宋_GB2312" w:hAnsi="DengXian" w:cs="宋体"/>
                <w:color w:val="000000"/>
                <w:kern w:val="0"/>
                <w:sz w:val="22"/>
              </w:rPr>
              <w:t>玫瑰海岸片区</w:t>
            </w:r>
          </w:p>
        </w:tc>
        <w:tc>
          <w:tcPr>
            <w:tcW w:w="1560"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color w:val="000000"/>
                <w:kern w:val="0"/>
                <w:sz w:val="22"/>
              </w:rPr>
            </w:pPr>
            <w:r>
              <w:rPr>
                <w:rFonts w:hint="eastAsia" w:ascii="仿宋_GB2312" w:hAnsi="DengXian" w:cs="宋体"/>
                <w:color w:val="000000"/>
                <w:kern w:val="0"/>
                <w:sz w:val="22"/>
              </w:rPr>
              <w:t>万人次</w:t>
            </w:r>
          </w:p>
        </w:tc>
        <w:tc>
          <w:tcPr>
            <w:tcW w:w="1559"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28.78</w:t>
            </w:r>
          </w:p>
        </w:tc>
        <w:tc>
          <w:tcPr>
            <w:tcW w:w="1417"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18.92</w:t>
            </w:r>
          </w:p>
        </w:tc>
        <w:tc>
          <w:tcPr>
            <w:tcW w:w="1329"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52.11%</w:t>
            </w:r>
          </w:p>
        </w:tc>
        <w:tc>
          <w:tcPr>
            <w:tcW w:w="1157"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245.07</w:t>
            </w:r>
          </w:p>
        </w:tc>
        <w:tc>
          <w:tcPr>
            <w:tcW w:w="1157"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193.13</w:t>
            </w:r>
          </w:p>
        </w:tc>
        <w:tc>
          <w:tcPr>
            <w:tcW w:w="1158"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26.89%</w:t>
            </w:r>
          </w:p>
        </w:tc>
      </w:tr>
      <w:tr>
        <w:tblPrEx>
          <w:tblCellMar>
            <w:top w:w="0" w:type="dxa"/>
            <w:left w:w="108" w:type="dxa"/>
            <w:bottom w:w="0" w:type="dxa"/>
            <w:right w:w="108" w:type="dxa"/>
          </w:tblCellMar>
        </w:tblPrEx>
        <w:trPr>
          <w:trHeight w:val="313" w:hRule="atLeast"/>
        </w:trPr>
        <w:tc>
          <w:tcPr>
            <w:tcW w:w="3392" w:type="dxa"/>
            <w:gridSpan w:val="4"/>
            <w:tcBorders>
              <w:top w:val="single" w:color="auto" w:sz="8" w:space="0"/>
              <w:left w:val="single" w:color="auto" w:sz="8" w:space="0"/>
              <w:bottom w:val="single" w:color="auto" w:sz="4" w:space="0"/>
              <w:right w:val="single" w:color="000000" w:sz="8" w:space="0"/>
            </w:tcBorders>
            <w:shd w:val="clear" w:color="auto" w:fill="auto"/>
            <w:vAlign w:val="center"/>
          </w:tcPr>
          <w:p>
            <w:pPr>
              <w:spacing w:after="0" w:line="240" w:lineRule="auto"/>
              <w:ind w:firstLine="0" w:firstLineChars="0"/>
              <w:jc w:val="center"/>
              <w:rPr>
                <w:rFonts w:hint="eastAsia" w:ascii="仿宋_GB2312" w:hAnsi="DengXian" w:cs="宋体"/>
                <w:color w:val="000000"/>
                <w:kern w:val="0"/>
                <w:sz w:val="22"/>
              </w:rPr>
            </w:pPr>
            <w:r>
              <w:rPr>
                <w:rFonts w:hint="eastAsia" w:ascii="仿宋_GB2312" w:hAnsi="DengXian" w:cs="宋体"/>
                <w:color w:val="000000"/>
                <w:kern w:val="0"/>
                <w:sz w:val="22"/>
              </w:rPr>
              <w:t>南澳墟镇片区</w:t>
            </w:r>
          </w:p>
        </w:tc>
        <w:tc>
          <w:tcPr>
            <w:tcW w:w="1560" w:type="dxa"/>
            <w:tcBorders>
              <w:top w:val="nil"/>
              <w:left w:val="nil"/>
              <w:bottom w:val="single" w:color="auto" w:sz="4"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color w:val="000000"/>
                <w:kern w:val="0"/>
                <w:sz w:val="22"/>
              </w:rPr>
            </w:pPr>
            <w:r>
              <w:rPr>
                <w:rFonts w:hint="eastAsia" w:ascii="仿宋_GB2312" w:hAnsi="DengXian" w:cs="宋体"/>
                <w:color w:val="000000"/>
                <w:kern w:val="0"/>
                <w:sz w:val="22"/>
              </w:rPr>
              <w:t>万人次</w:t>
            </w:r>
          </w:p>
        </w:tc>
        <w:tc>
          <w:tcPr>
            <w:tcW w:w="1559" w:type="dxa"/>
            <w:tcBorders>
              <w:top w:val="nil"/>
              <w:left w:val="nil"/>
              <w:bottom w:val="single" w:color="auto" w:sz="4"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20.92</w:t>
            </w:r>
          </w:p>
        </w:tc>
        <w:tc>
          <w:tcPr>
            <w:tcW w:w="1417" w:type="dxa"/>
            <w:tcBorders>
              <w:top w:val="nil"/>
              <w:left w:val="nil"/>
              <w:bottom w:val="single" w:color="auto" w:sz="4"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9.26</w:t>
            </w:r>
          </w:p>
        </w:tc>
        <w:tc>
          <w:tcPr>
            <w:tcW w:w="1329" w:type="dxa"/>
            <w:tcBorders>
              <w:top w:val="nil"/>
              <w:left w:val="nil"/>
              <w:bottom w:val="single" w:color="auto" w:sz="4"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125.92%</w:t>
            </w:r>
          </w:p>
        </w:tc>
        <w:tc>
          <w:tcPr>
            <w:tcW w:w="1157" w:type="dxa"/>
            <w:tcBorders>
              <w:top w:val="nil"/>
              <w:left w:val="nil"/>
              <w:bottom w:val="single" w:color="auto" w:sz="4"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149.97</w:t>
            </w:r>
          </w:p>
        </w:tc>
        <w:tc>
          <w:tcPr>
            <w:tcW w:w="1157" w:type="dxa"/>
            <w:tcBorders>
              <w:top w:val="nil"/>
              <w:left w:val="nil"/>
              <w:bottom w:val="single" w:color="auto" w:sz="4"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99.9</w:t>
            </w:r>
          </w:p>
        </w:tc>
        <w:tc>
          <w:tcPr>
            <w:tcW w:w="1158" w:type="dxa"/>
            <w:tcBorders>
              <w:top w:val="nil"/>
              <w:left w:val="nil"/>
              <w:bottom w:val="single" w:color="auto" w:sz="4"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50.12%</w:t>
            </w:r>
          </w:p>
        </w:tc>
      </w:tr>
      <w:tr>
        <w:tblPrEx>
          <w:tblCellMar>
            <w:top w:w="0" w:type="dxa"/>
            <w:left w:w="108" w:type="dxa"/>
            <w:bottom w:w="0" w:type="dxa"/>
            <w:right w:w="108" w:type="dxa"/>
          </w:tblCellMar>
        </w:tblPrEx>
        <w:trPr>
          <w:trHeight w:val="902" w:hRule="atLeast"/>
        </w:trPr>
        <w:tc>
          <w:tcPr>
            <w:tcW w:w="3392" w:type="dxa"/>
            <w:gridSpan w:val="4"/>
            <w:tcBorders>
              <w:top w:val="single" w:color="auto" w:sz="4" w:space="0"/>
              <w:left w:val="single" w:color="auto" w:sz="4" w:space="0"/>
              <w:bottom w:val="single" w:color="auto" w:sz="4" w:space="0"/>
              <w:right w:val="single" w:color="000000" w:sz="8" w:space="0"/>
            </w:tcBorders>
            <w:shd w:val="clear" w:color="000000" w:fill="D7D7D7"/>
            <w:vAlign w:val="center"/>
          </w:tcPr>
          <w:p>
            <w:pPr>
              <w:spacing w:after="0" w:line="240" w:lineRule="auto"/>
              <w:ind w:firstLine="0" w:firstLineChars="0"/>
              <w:jc w:val="center"/>
              <w:rPr>
                <w:rFonts w:hint="eastAsia" w:ascii="仿宋_GB2312" w:hAnsi="DengXian" w:cs="宋体"/>
                <w:b/>
                <w:bCs/>
                <w:color w:val="000000"/>
                <w:kern w:val="0"/>
                <w:sz w:val="21"/>
                <w:szCs w:val="21"/>
              </w:rPr>
            </w:pPr>
            <w:r>
              <w:rPr>
                <w:rFonts w:hint="eastAsia" w:ascii="仿宋_GB2312" w:hAnsi="DengXian" w:cs="宋体"/>
                <w:b/>
                <w:bCs/>
                <w:color w:val="000000"/>
                <w:kern w:val="0"/>
                <w:sz w:val="21"/>
                <w:szCs w:val="21"/>
              </w:rPr>
              <w:t>项  目</w:t>
            </w:r>
          </w:p>
        </w:tc>
        <w:tc>
          <w:tcPr>
            <w:tcW w:w="1560" w:type="dxa"/>
            <w:tcBorders>
              <w:top w:val="single" w:color="auto" w:sz="4" w:space="0"/>
              <w:left w:val="nil"/>
              <w:bottom w:val="single" w:color="auto" w:sz="4" w:space="0"/>
              <w:right w:val="single" w:color="auto" w:sz="8" w:space="0"/>
            </w:tcBorders>
            <w:shd w:val="clear" w:color="000000" w:fill="D7D7D7"/>
            <w:vAlign w:val="center"/>
          </w:tcPr>
          <w:p>
            <w:pPr>
              <w:spacing w:after="0" w:line="240" w:lineRule="auto"/>
              <w:ind w:firstLine="0" w:firstLineChars="0"/>
              <w:jc w:val="center"/>
              <w:rPr>
                <w:rFonts w:hint="eastAsia" w:ascii="仿宋_GB2312" w:hAnsi="DengXian" w:cs="宋体"/>
                <w:b/>
                <w:bCs/>
                <w:color w:val="000000"/>
                <w:kern w:val="0"/>
                <w:sz w:val="21"/>
                <w:szCs w:val="21"/>
              </w:rPr>
            </w:pPr>
            <w:r>
              <w:rPr>
                <w:rFonts w:hint="eastAsia" w:ascii="仿宋_GB2312" w:hAnsi="DengXian" w:cs="宋体"/>
                <w:b/>
                <w:bCs/>
                <w:color w:val="000000"/>
                <w:kern w:val="0"/>
                <w:sz w:val="21"/>
                <w:szCs w:val="21"/>
              </w:rPr>
              <w:t>单位</w:t>
            </w:r>
          </w:p>
        </w:tc>
        <w:tc>
          <w:tcPr>
            <w:tcW w:w="1559" w:type="dxa"/>
            <w:tcBorders>
              <w:top w:val="single" w:color="auto" w:sz="4" w:space="0"/>
              <w:left w:val="nil"/>
              <w:bottom w:val="single" w:color="auto" w:sz="4" w:space="0"/>
              <w:right w:val="single" w:color="auto" w:sz="8" w:space="0"/>
            </w:tcBorders>
            <w:shd w:val="clear" w:color="000000" w:fill="D7D7D7"/>
            <w:vAlign w:val="center"/>
          </w:tcPr>
          <w:p>
            <w:pPr>
              <w:spacing w:after="0" w:line="240" w:lineRule="auto"/>
              <w:ind w:firstLine="0" w:firstLineChars="0"/>
              <w:jc w:val="center"/>
              <w:rPr>
                <w:rFonts w:hint="eastAsia" w:ascii="仿宋_GB2312" w:hAnsi="DengXian" w:cs="宋体"/>
                <w:b/>
                <w:bCs/>
                <w:color w:val="000000"/>
                <w:kern w:val="0"/>
                <w:sz w:val="21"/>
                <w:szCs w:val="21"/>
              </w:rPr>
            </w:pPr>
            <w:r>
              <w:rPr>
                <w:rFonts w:hint="eastAsia" w:ascii="仿宋_GB2312" w:hAnsi="DengXian" w:cs="宋体"/>
                <w:b/>
                <w:bCs/>
                <w:color w:val="000000"/>
                <w:kern w:val="0"/>
                <w:sz w:val="21"/>
                <w:szCs w:val="21"/>
              </w:rPr>
              <w:t>2023年9月份</w:t>
            </w:r>
          </w:p>
        </w:tc>
        <w:tc>
          <w:tcPr>
            <w:tcW w:w="1417" w:type="dxa"/>
            <w:tcBorders>
              <w:top w:val="single" w:color="auto" w:sz="4" w:space="0"/>
              <w:left w:val="nil"/>
              <w:bottom w:val="single" w:color="auto" w:sz="4" w:space="0"/>
              <w:right w:val="single" w:color="auto" w:sz="8" w:space="0"/>
            </w:tcBorders>
            <w:shd w:val="clear" w:color="000000" w:fill="D7D7D7"/>
            <w:vAlign w:val="center"/>
          </w:tcPr>
          <w:p>
            <w:pPr>
              <w:spacing w:after="0" w:line="240" w:lineRule="auto"/>
              <w:ind w:firstLine="0" w:firstLineChars="0"/>
              <w:jc w:val="center"/>
              <w:rPr>
                <w:rFonts w:hint="eastAsia" w:ascii="仿宋_GB2312" w:hAnsi="DengXian" w:cs="宋体"/>
                <w:b/>
                <w:bCs/>
                <w:color w:val="000000"/>
                <w:kern w:val="0"/>
                <w:sz w:val="21"/>
                <w:szCs w:val="21"/>
              </w:rPr>
            </w:pPr>
            <w:r>
              <w:rPr>
                <w:rFonts w:hint="eastAsia" w:ascii="仿宋_GB2312" w:hAnsi="DengXian" w:cs="宋体"/>
                <w:b/>
                <w:bCs/>
                <w:color w:val="000000"/>
                <w:kern w:val="0"/>
                <w:sz w:val="21"/>
                <w:szCs w:val="21"/>
              </w:rPr>
              <w:t>去年9月份</w:t>
            </w:r>
          </w:p>
        </w:tc>
        <w:tc>
          <w:tcPr>
            <w:tcW w:w="1329" w:type="dxa"/>
            <w:tcBorders>
              <w:top w:val="single" w:color="auto" w:sz="4" w:space="0"/>
              <w:left w:val="nil"/>
              <w:bottom w:val="single" w:color="auto" w:sz="4" w:space="0"/>
              <w:right w:val="single" w:color="auto" w:sz="8" w:space="0"/>
            </w:tcBorders>
            <w:shd w:val="clear" w:color="000000" w:fill="D7D7D7"/>
            <w:vAlign w:val="center"/>
          </w:tcPr>
          <w:p>
            <w:pPr>
              <w:spacing w:after="0" w:line="240" w:lineRule="auto"/>
              <w:ind w:firstLine="0" w:firstLineChars="0"/>
              <w:jc w:val="center"/>
              <w:rPr>
                <w:rFonts w:hint="eastAsia" w:ascii="仿宋_GB2312" w:hAnsi="DengXian" w:cs="宋体"/>
                <w:b/>
                <w:bCs/>
                <w:color w:val="000000"/>
                <w:kern w:val="0"/>
                <w:sz w:val="21"/>
                <w:szCs w:val="21"/>
              </w:rPr>
            </w:pPr>
            <w:r>
              <w:rPr>
                <w:rFonts w:hint="eastAsia" w:ascii="仿宋_GB2312" w:hAnsi="DengXian" w:cs="宋体"/>
                <w:b/>
                <w:bCs/>
                <w:color w:val="000000"/>
                <w:kern w:val="0"/>
                <w:sz w:val="21"/>
                <w:szCs w:val="21"/>
              </w:rPr>
              <w:t>与去年9月份同比（%）</w:t>
            </w:r>
          </w:p>
        </w:tc>
        <w:tc>
          <w:tcPr>
            <w:tcW w:w="1157" w:type="dxa"/>
            <w:tcBorders>
              <w:top w:val="single" w:color="auto" w:sz="4" w:space="0"/>
              <w:left w:val="nil"/>
              <w:bottom w:val="single" w:color="auto" w:sz="4" w:space="0"/>
              <w:right w:val="single" w:color="auto" w:sz="8" w:space="0"/>
            </w:tcBorders>
            <w:shd w:val="clear" w:color="000000" w:fill="D7D7D7"/>
            <w:vAlign w:val="center"/>
          </w:tcPr>
          <w:p>
            <w:pPr>
              <w:spacing w:after="0" w:line="240" w:lineRule="auto"/>
              <w:ind w:firstLine="0" w:firstLineChars="0"/>
              <w:jc w:val="center"/>
              <w:rPr>
                <w:rFonts w:hint="eastAsia" w:ascii="仿宋_GB2312" w:hAnsi="DengXian" w:cs="宋体"/>
                <w:b/>
                <w:bCs/>
                <w:color w:val="000000"/>
                <w:kern w:val="0"/>
                <w:sz w:val="21"/>
                <w:szCs w:val="21"/>
              </w:rPr>
            </w:pPr>
            <w:r>
              <w:rPr>
                <w:rFonts w:hint="eastAsia" w:ascii="仿宋_GB2312" w:hAnsi="DengXian" w:cs="宋体"/>
                <w:b/>
                <w:bCs/>
                <w:color w:val="000000"/>
                <w:kern w:val="0"/>
                <w:sz w:val="21"/>
                <w:szCs w:val="21"/>
              </w:rPr>
              <w:t>本月止累计</w:t>
            </w:r>
          </w:p>
        </w:tc>
        <w:tc>
          <w:tcPr>
            <w:tcW w:w="1157" w:type="dxa"/>
            <w:tcBorders>
              <w:top w:val="single" w:color="auto" w:sz="4" w:space="0"/>
              <w:left w:val="nil"/>
              <w:bottom w:val="single" w:color="auto" w:sz="4" w:space="0"/>
              <w:right w:val="single" w:color="auto" w:sz="8" w:space="0"/>
            </w:tcBorders>
            <w:shd w:val="clear" w:color="000000" w:fill="D7D7D7"/>
            <w:vAlign w:val="center"/>
          </w:tcPr>
          <w:p>
            <w:pPr>
              <w:spacing w:after="0" w:line="240" w:lineRule="auto"/>
              <w:ind w:firstLine="0" w:firstLineChars="0"/>
              <w:jc w:val="center"/>
              <w:rPr>
                <w:rFonts w:hint="eastAsia" w:ascii="仿宋_GB2312" w:hAnsi="DengXian" w:cs="宋体"/>
                <w:b/>
                <w:bCs/>
                <w:color w:val="000000"/>
                <w:kern w:val="0"/>
                <w:sz w:val="21"/>
                <w:szCs w:val="21"/>
              </w:rPr>
            </w:pPr>
            <w:r>
              <w:rPr>
                <w:rFonts w:hint="eastAsia" w:ascii="仿宋_GB2312" w:hAnsi="DengXian" w:cs="宋体"/>
                <w:b/>
                <w:bCs/>
                <w:color w:val="000000"/>
                <w:kern w:val="0"/>
                <w:sz w:val="21"/>
                <w:szCs w:val="21"/>
              </w:rPr>
              <w:t>去年本月止累计</w:t>
            </w:r>
          </w:p>
        </w:tc>
        <w:tc>
          <w:tcPr>
            <w:tcW w:w="1158" w:type="dxa"/>
            <w:tcBorders>
              <w:top w:val="single" w:color="auto" w:sz="4" w:space="0"/>
              <w:left w:val="nil"/>
              <w:bottom w:val="single" w:color="auto" w:sz="4" w:space="0"/>
              <w:right w:val="single" w:color="auto" w:sz="4" w:space="0"/>
            </w:tcBorders>
            <w:shd w:val="clear" w:color="000000" w:fill="D7D7D7"/>
            <w:vAlign w:val="center"/>
          </w:tcPr>
          <w:p>
            <w:pPr>
              <w:spacing w:after="0" w:line="240" w:lineRule="auto"/>
              <w:ind w:firstLine="0" w:firstLineChars="0"/>
              <w:jc w:val="center"/>
              <w:rPr>
                <w:rFonts w:hint="eastAsia" w:ascii="仿宋_GB2312" w:hAnsi="DengXian" w:cs="宋体"/>
                <w:b/>
                <w:bCs/>
                <w:color w:val="000000"/>
                <w:kern w:val="0"/>
                <w:sz w:val="21"/>
                <w:szCs w:val="21"/>
              </w:rPr>
            </w:pPr>
            <w:r>
              <w:rPr>
                <w:rFonts w:hint="eastAsia" w:ascii="仿宋_GB2312" w:hAnsi="DengXian" w:cs="宋体"/>
                <w:b/>
                <w:bCs/>
                <w:color w:val="000000"/>
                <w:kern w:val="0"/>
                <w:sz w:val="21"/>
                <w:szCs w:val="21"/>
              </w:rPr>
              <w:t>累计同比（%）</w:t>
            </w:r>
          </w:p>
        </w:tc>
      </w:tr>
      <w:tr>
        <w:tblPrEx>
          <w:tblCellMar>
            <w:top w:w="0" w:type="dxa"/>
            <w:left w:w="108" w:type="dxa"/>
            <w:bottom w:w="0" w:type="dxa"/>
            <w:right w:w="108" w:type="dxa"/>
          </w:tblCellMar>
        </w:tblPrEx>
        <w:trPr>
          <w:trHeight w:val="283" w:hRule="atLeast"/>
        </w:trPr>
        <w:tc>
          <w:tcPr>
            <w:tcW w:w="3392" w:type="dxa"/>
            <w:gridSpan w:val="4"/>
            <w:tcBorders>
              <w:top w:val="single" w:color="auto" w:sz="4" w:space="0"/>
              <w:left w:val="single" w:color="auto" w:sz="8" w:space="0"/>
              <w:bottom w:val="single" w:color="auto" w:sz="8" w:space="0"/>
              <w:right w:val="single" w:color="000000" w:sz="8" w:space="0"/>
            </w:tcBorders>
            <w:shd w:val="clear" w:color="auto" w:fill="auto"/>
            <w:vAlign w:val="center"/>
          </w:tcPr>
          <w:p>
            <w:pPr>
              <w:spacing w:after="0" w:line="240" w:lineRule="auto"/>
              <w:ind w:firstLine="0" w:firstLineChars="0"/>
              <w:jc w:val="center"/>
              <w:rPr>
                <w:rFonts w:hint="eastAsia" w:ascii="仿宋_GB2312" w:hAnsi="DengXian" w:cs="宋体"/>
                <w:color w:val="000000"/>
                <w:kern w:val="0"/>
                <w:sz w:val="22"/>
              </w:rPr>
            </w:pPr>
            <w:r>
              <w:rPr>
                <w:rFonts w:hint="eastAsia" w:ascii="仿宋_GB2312" w:hAnsi="DengXian" w:cs="宋体"/>
                <w:color w:val="000000"/>
                <w:kern w:val="0"/>
                <w:sz w:val="22"/>
              </w:rPr>
              <w:t>官湖片区</w:t>
            </w:r>
          </w:p>
        </w:tc>
        <w:tc>
          <w:tcPr>
            <w:tcW w:w="1560" w:type="dxa"/>
            <w:tcBorders>
              <w:top w:val="single" w:color="auto" w:sz="4" w:space="0"/>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color w:val="000000"/>
                <w:kern w:val="0"/>
                <w:sz w:val="22"/>
              </w:rPr>
            </w:pPr>
            <w:r>
              <w:rPr>
                <w:rFonts w:hint="eastAsia" w:ascii="仿宋_GB2312" w:hAnsi="DengXian" w:cs="宋体"/>
                <w:color w:val="000000"/>
                <w:kern w:val="0"/>
                <w:sz w:val="22"/>
              </w:rPr>
              <w:t>万人次</w:t>
            </w:r>
          </w:p>
        </w:tc>
        <w:tc>
          <w:tcPr>
            <w:tcW w:w="1559" w:type="dxa"/>
            <w:tcBorders>
              <w:top w:val="single" w:color="auto" w:sz="4" w:space="0"/>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3.65</w:t>
            </w:r>
          </w:p>
        </w:tc>
        <w:tc>
          <w:tcPr>
            <w:tcW w:w="1417" w:type="dxa"/>
            <w:tcBorders>
              <w:top w:val="single" w:color="auto" w:sz="4" w:space="0"/>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3.04</w:t>
            </w:r>
          </w:p>
        </w:tc>
        <w:tc>
          <w:tcPr>
            <w:tcW w:w="1329" w:type="dxa"/>
            <w:tcBorders>
              <w:top w:val="single" w:color="auto" w:sz="4" w:space="0"/>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20.07%</w:t>
            </w:r>
          </w:p>
        </w:tc>
        <w:tc>
          <w:tcPr>
            <w:tcW w:w="1157" w:type="dxa"/>
            <w:tcBorders>
              <w:top w:val="single" w:color="auto" w:sz="4" w:space="0"/>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46.83</w:t>
            </w:r>
          </w:p>
        </w:tc>
        <w:tc>
          <w:tcPr>
            <w:tcW w:w="1157" w:type="dxa"/>
            <w:tcBorders>
              <w:top w:val="single" w:color="auto" w:sz="4" w:space="0"/>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37.77</w:t>
            </w:r>
          </w:p>
        </w:tc>
        <w:tc>
          <w:tcPr>
            <w:tcW w:w="1158" w:type="dxa"/>
            <w:tcBorders>
              <w:top w:val="single" w:color="auto" w:sz="4" w:space="0"/>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23.99%</w:t>
            </w:r>
          </w:p>
        </w:tc>
      </w:tr>
      <w:tr>
        <w:tblPrEx>
          <w:tblCellMar>
            <w:top w:w="0" w:type="dxa"/>
            <w:left w:w="108" w:type="dxa"/>
            <w:bottom w:w="0" w:type="dxa"/>
            <w:right w:w="108" w:type="dxa"/>
          </w:tblCellMar>
        </w:tblPrEx>
        <w:trPr>
          <w:trHeight w:val="283" w:hRule="atLeast"/>
        </w:trPr>
        <w:tc>
          <w:tcPr>
            <w:tcW w:w="3392" w:type="dxa"/>
            <w:gridSpan w:val="4"/>
            <w:tcBorders>
              <w:top w:val="single" w:color="auto" w:sz="8" w:space="0"/>
              <w:left w:val="single" w:color="auto" w:sz="8" w:space="0"/>
              <w:bottom w:val="single" w:color="auto" w:sz="8" w:space="0"/>
              <w:right w:val="single" w:color="000000" w:sz="8" w:space="0"/>
            </w:tcBorders>
            <w:shd w:val="clear" w:color="auto" w:fill="auto"/>
            <w:vAlign w:val="center"/>
          </w:tcPr>
          <w:p>
            <w:pPr>
              <w:spacing w:after="0" w:line="240" w:lineRule="auto"/>
              <w:ind w:firstLine="0" w:firstLineChars="0"/>
              <w:jc w:val="center"/>
              <w:rPr>
                <w:rFonts w:hint="eastAsia" w:ascii="仿宋_GB2312" w:hAnsi="DengXian" w:cs="宋体"/>
                <w:color w:val="000000"/>
                <w:kern w:val="0"/>
                <w:sz w:val="22"/>
              </w:rPr>
            </w:pPr>
            <w:r>
              <w:rPr>
                <w:rFonts w:hint="eastAsia" w:ascii="仿宋_GB2312" w:hAnsi="DengXian" w:cs="宋体"/>
                <w:color w:val="000000"/>
                <w:kern w:val="0"/>
                <w:sz w:val="22"/>
              </w:rPr>
              <w:t>杨梅坑片区</w:t>
            </w:r>
          </w:p>
        </w:tc>
        <w:tc>
          <w:tcPr>
            <w:tcW w:w="1560"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color w:val="000000"/>
                <w:kern w:val="0"/>
                <w:sz w:val="22"/>
              </w:rPr>
            </w:pPr>
            <w:r>
              <w:rPr>
                <w:rFonts w:hint="eastAsia" w:ascii="仿宋_GB2312" w:hAnsi="DengXian" w:cs="宋体"/>
                <w:color w:val="000000"/>
                <w:kern w:val="0"/>
                <w:sz w:val="22"/>
              </w:rPr>
              <w:t>万人次</w:t>
            </w:r>
          </w:p>
        </w:tc>
        <w:tc>
          <w:tcPr>
            <w:tcW w:w="1559"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19.15</w:t>
            </w:r>
          </w:p>
        </w:tc>
        <w:tc>
          <w:tcPr>
            <w:tcW w:w="1417"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8.39</w:t>
            </w:r>
          </w:p>
        </w:tc>
        <w:tc>
          <w:tcPr>
            <w:tcW w:w="1329"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128.25%</w:t>
            </w:r>
          </w:p>
        </w:tc>
        <w:tc>
          <w:tcPr>
            <w:tcW w:w="1157"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174.29</w:t>
            </w:r>
          </w:p>
        </w:tc>
        <w:tc>
          <w:tcPr>
            <w:tcW w:w="1157"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86.91</w:t>
            </w:r>
          </w:p>
        </w:tc>
        <w:tc>
          <w:tcPr>
            <w:tcW w:w="1158"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100.54%</w:t>
            </w:r>
          </w:p>
        </w:tc>
      </w:tr>
      <w:tr>
        <w:tblPrEx>
          <w:tblCellMar>
            <w:top w:w="0" w:type="dxa"/>
            <w:left w:w="108" w:type="dxa"/>
            <w:bottom w:w="0" w:type="dxa"/>
            <w:right w:w="108" w:type="dxa"/>
          </w:tblCellMar>
        </w:tblPrEx>
        <w:trPr>
          <w:trHeight w:val="283" w:hRule="atLeast"/>
        </w:trPr>
        <w:tc>
          <w:tcPr>
            <w:tcW w:w="3392" w:type="dxa"/>
            <w:gridSpan w:val="4"/>
            <w:tcBorders>
              <w:top w:val="single" w:color="auto" w:sz="8" w:space="0"/>
              <w:left w:val="single" w:color="auto" w:sz="8" w:space="0"/>
              <w:bottom w:val="single" w:color="auto" w:sz="8" w:space="0"/>
              <w:right w:val="single" w:color="000000" w:sz="8" w:space="0"/>
            </w:tcBorders>
            <w:shd w:val="clear" w:color="auto" w:fill="auto"/>
            <w:vAlign w:val="center"/>
          </w:tcPr>
          <w:p>
            <w:pPr>
              <w:spacing w:after="0" w:line="240" w:lineRule="auto"/>
              <w:ind w:firstLine="0" w:firstLineChars="0"/>
              <w:jc w:val="center"/>
              <w:rPr>
                <w:rFonts w:hint="eastAsia" w:ascii="仿宋_GB2312" w:hAnsi="DengXian" w:cs="宋体"/>
                <w:color w:val="000000"/>
                <w:kern w:val="0"/>
                <w:sz w:val="22"/>
              </w:rPr>
            </w:pPr>
            <w:r>
              <w:rPr>
                <w:rFonts w:hint="eastAsia" w:ascii="仿宋_GB2312" w:hAnsi="DengXian" w:cs="宋体"/>
                <w:color w:val="000000"/>
                <w:kern w:val="0"/>
                <w:sz w:val="22"/>
              </w:rPr>
              <w:t>西涌片区</w:t>
            </w:r>
          </w:p>
        </w:tc>
        <w:tc>
          <w:tcPr>
            <w:tcW w:w="1560"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color w:val="000000"/>
                <w:kern w:val="0"/>
                <w:sz w:val="22"/>
              </w:rPr>
            </w:pPr>
            <w:r>
              <w:rPr>
                <w:rFonts w:hint="eastAsia" w:ascii="仿宋_GB2312" w:hAnsi="DengXian" w:cs="宋体"/>
                <w:color w:val="000000"/>
                <w:kern w:val="0"/>
                <w:sz w:val="22"/>
              </w:rPr>
              <w:t>万人次</w:t>
            </w:r>
          </w:p>
        </w:tc>
        <w:tc>
          <w:tcPr>
            <w:tcW w:w="1559"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11.17</w:t>
            </w:r>
          </w:p>
        </w:tc>
        <w:tc>
          <w:tcPr>
            <w:tcW w:w="1417"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5.38</w:t>
            </w:r>
          </w:p>
        </w:tc>
        <w:tc>
          <w:tcPr>
            <w:tcW w:w="1329"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107.62%</w:t>
            </w:r>
          </w:p>
        </w:tc>
        <w:tc>
          <w:tcPr>
            <w:tcW w:w="1157"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104.02</w:t>
            </w:r>
          </w:p>
        </w:tc>
        <w:tc>
          <w:tcPr>
            <w:tcW w:w="1157"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77.18</w:t>
            </w:r>
          </w:p>
        </w:tc>
        <w:tc>
          <w:tcPr>
            <w:tcW w:w="1158"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34.78%</w:t>
            </w:r>
          </w:p>
        </w:tc>
      </w:tr>
      <w:tr>
        <w:tblPrEx>
          <w:tblCellMar>
            <w:top w:w="0" w:type="dxa"/>
            <w:left w:w="108" w:type="dxa"/>
            <w:bottom w:w="0" w:type="dxa"/>
            <w:right w:w="108" w:type="dxa"/>
          </w:tblCellMar>
        </w:tblPrEx>
        <w:trPr>
          <w:trHeight w:val="283" w:hRule="atLeast"/>
        </w:trPr>
        <w:tc>
          <w:tcPr>
            <w:tcW w:w="3392" w:type="dxa"/>
            <w:gridSpan w:val="4"/>
            <w:tcBorders>
              <w:top w:val="single" w:color="auto" w:sz="8" w:space="0"/>
              <w:left w:val="single" w:color="auto" w:sz="8" w:space="0"/>
              <w:bottom w:val="single" w:color="auto" w:sz="8" w:space="0"/>
              <w:right w:val="single" w:color="000000" w:sz="8" w:space="0"/>
            </w:tcBorders>
            <w:shd w:val="clear" w:color="auto" w:fill="auto"/>
            <w:vAlign w:val="center"/>
          </w:tcPr>
          <w:p>
            <w:pPr>
              <w:spacing w:after="0" w:line="240" w:lineRule="auto"/>
              <w:ind w:firstLine="0" w:firstLineChars="0"/>
              <w:jc w:val="center"/>
              <w:rPr>
                <w:rFonts w:hint="eastAsia" w:ascii="仿宋_GB2312" w:hAnsi="DengXian" w:cs="宋体"/>
                <w:color w:val="000000"/>
                <w:kern w:val="0"/>
                <w:sz w:val="22"/>
              </w:rPr>
            </w:pPr>
            <w:r>
              <w:rPr>
                <w:rFonts w:hint="eastAsia" w:ascii="仿宋_GB2312" w:hAnsi="DengXian" w:cs="宋体"/>
                <w:color w:val="000000"/>
                <w:kern w:val="0"/>
                <w:sz w:val="22"/>
              </w:rPr>
              <w:t>东涌片区</w:t>
            </w:r>
          </w:p>
        </w:tc>
        <w:tc>
          <w:tcPr>
            <w:tcW w:w="1560"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color w:val="000000"/>
                <w:kern w:val="0"/>
                <w:sz w:val="22"/>
              </w:rPr>
            </w:pPr>
            <w:r>
              <w:rPr>
                <w:rFonts w:hint="eastAsia" w:ascii="仿宋_GB2312" w:hAnsi="DengXian" w:cs="宋体"/>
                <w:color w:val="000000"/>
                <w:kern w:val="0"/>
                <w:sz w:val="22"/>
              </w:rPr>
              <w:t>万人次</w:t>
            </w:r>
          </w:p>
        </w:tc>
        <w:tc>
          <w:tcPr>
            <w:tcW w:w="1559"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5.77</w:t>
            </w:r>
          </w:p>
        </w:tc>
        <w:tc>
          <w:tcPr>
            <w:tcW w:w="1417"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3.1</w:t>
            </w:r>
          </w:p>
        </w:tc>
        <w:tc>
          <w:tcPr>
            <w:tcW w:w="1329"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86.13%</w:t>
            </w:r>
          </w:p>
        </w:tc>
        <w:tc>
          <w:tcPr>
            <w:tcW w:w="1157"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55.17</w:t>
            </w:r>
          </w:p>
        </w:tc>
        <w:tc>
          <w:tcPr>
            <w:tcW w:w="1157"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39.26</w:t>
            </w:r>
          </w:p>
        </w:tc>
        <w:tc>
          <w:tcPr>
            <w:tcW w:w="1158"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40.52%</w:t>
            </w:r>
          </w:p>
        </w:tc>
      </w:tr>
      <w:tr>
        <w:tblPrEx>
          <w:tblCellMar>
            <w:top w:w="0" w:type="dxa"/>
            <w:left w:w="108" w:type="dxa"/>
            <w:bottom w:w="0" w:type="dxa"/>
            <w:right w:w="108" w:type="dxa"/>
          </w:tblCellMar>
        </w:tblPrEx>
        <w:trPr>
          <w:trHeight w:val="283" w:hRule="atLeast"/>
        </w:trPr>
        <w:tc>
          <w:tcPr>
            <w:tcW w:w="3392" w:type="dxa"/>
            <w:gridSpan w:val="4"/>
            <w:tcBorders>
              <w:top w:val="single" w:color="auto" w:sz="8" w:space="0"/>
              <w:left w:val="single" w:color="auto" w:sz="8" w:space="0"/>
              <w:bottom w:val="single" w:color="auto" w:sz="8" w:space="0"/>
              <w:right w:val="single" w:color="000000" w:sz="8" w:space="0"/>
            </w:tcBorders>
            <w:shd w:val="clear" w:color="auto" w:fill="auto"/>
            <w:vAlign w:val="center"/>
          </w:tcPr>
          <w:p>
            <w:pPr>
              <w:spacing w:after="0" w:line="240" w:lineRule="auto"/>
              <w:ind w:firstLine="0" w:firstLineChars="0"/>
              <w:jc w:val="center"/>
              <w:rPr>
                <w:rFonts w:hint="eastAsia" w:ascii="仿宋_GB2312" w:hAnsi="DengXian" w:cs="宋体"/>
                <w:color w:val="000000"/>
                <w:kern w:val="0"/>
                <w:sz w:val="22"/>
              </w:rPr>
            </w:pPr>
            <w:r>
              <w:rPr>
                <w:rFonts w:hint="eastAsia" w:ascii="仿宋_GB2312" w:hAnsi="DengXian" w:cs="宋体"/>
                <w:color w:val="000000"/>
                <w:kern w:val="0"/>
                <w:sz w:val="22"/>
              </w:rPr>
              <w:t>金沙湾片区</w:t>
            </w:r>
          </w:p>
        </w:tc>
        <w:tc>
          <w:tcPr>
            <w:tcW w:w="1560"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color w:val="000000"/>
                <w:kern w:val="0"/>
                <w:sz w:val="22"/>
              </w:rPr>
            </w:pPr>
            <w:r>
              <w:rPr>
                <w:rFonts w:hint="eastAsia" w:ascii="仿宋_GB2312" w:hAnsi="DengXian" w:cs="宋体"/>
                <w:color w:val="000000"/>
                <w:kern w:val="0"/>
                <w:sz w:val="22"/>
              </w:rPr>
              <w:t>万人次</w:t>
            </w:r>
          </w:p>
        </w:tc>
        <w:tc>
          <w:tcPr>
            <w:tcW w:w="1559"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5.5</w:t>
            </w:r>
          </w:p>
        </w:tc>
        <w:tc>
          <w:tcPr>
            <w:tcW w:w="1417"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2.45</w:t>
            </w:r>
          </w:p>
        </w:tc>
        <w:tc>
          <w:tcPr>
            <w:tcW w:w="1329"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124.49%</w:t>
            </w:r>
          </w:p>
        </w:tc>
        <w:tc>
          <w:tcPr>
            <w:tcW w:w="1157"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54.36</w:t>
            </w:r>
          </w:p>
        </w:tc>
        <w:tc>
          <w:tcPr>
            <w:tcW w:w="1157"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33.77</w:t>
            </w:r>
          </w:p>
        </w:tc>
        <w:tc>
          <w:tcPr>
            <w:tcW w:w="1158"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60.97%</w:t>
            </w:r>
          </w:p>
        </w:tc>
      </w:tr>
      <w:tr>
        <w:tblPrEx>
          <w:tblCellMar>
            <w:top w:w="0" w:type="dxa"/>
            <w:left w:w="108" w:type="dxa"/>
            <w:bottom w:w="0" w:type="dxa"/>
            <w:right w:w="108" w:type="dxa"/>
          </w:tblCellMar>
        </w:tblPrEx>
        <w:trPr>
          <w:trHeight w:val="283" w:hRule="atLeast"/>
        </w:trPr>
        <w:tc>
          <w:tcPr>
            <w:tcW w:w="3392" w:type="dxa"/>
            <w:gridSpan w:val="4"/>
            <w:tcBorders>
              <w:top w:val="single" w:color="auto" w:sz="8" w:space="0"/>
              <w:left w:val="single" w:color="auto" w:sz="8" w:space="0"/>
              <w:bottom w:val="single" w:color="auto" w:sz="8" w:space="0"/>
              <w:right w:val="single" w:color="000000" w:sz="8" w:space="0"/>
            </w:tcBorders>
            <w:shd w:val="clear" w:color="auto" w:fill="auto"/>
            <w:vAlign w:val="center"/>
          </w:tcPr>
          <w:p>
            <w:pPr>
              <w:spacing w:after="0" w:line="240" w:lineRule="auto"/>
              <w:ind w:firstLine="0" w:firstLineChars="0"/>
              <w:jc w:val="center"/>
              <w:rPr>
                <w:rFonts w:hint="eastAsia" w:ascii="仿宋_GB2312" w:hAnsi="DengXian" w:cs="宋体"/>
                <w:color w:val="000000"/>
                <w:kern w:val="0"/>
                <w:sz w:val="22"/>
              </w:rPr>
            </w:pPr>
            <w:r>
              <w:rPr>
                <w:rFonts w:hint="eastAsia" w:ascii="仿宋_GB2312" w:hAnsi="DengXian" w:cs="宋体"/>
                <w:color w:val="000000"/>
                <w:kern w:val="0"/>
                <w:sz w:val="22"/>
              </w:rPr>
              <w:t>坝光片区</w:t>
            </w:r>
          </w:p>
        </w:tc>
        <w:tc>
          <w:tcPr>
            <w:tcW w:w="1560"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color w:val="000000"/>
                <w:kern w:val="0"/>
                <w:sz w:val="22"/>
              </w:rPr>
            </w:pPr>
            <w:r>
              <w:rPr>
                <w:rFonts w:hint="eastAsia" w:ascii="仿宋_GB2312" w:hAnsi="DengXian" w:cs="宋体"/>
                <w:color w:val="000000"/>
                <w:kern w:val="0"/>
                <w:sz w:val="22"/>
              </w:rPr>
              <w:t>万人次</w:t>
            </w:r>
          </w:p>
        </w:tc>
        <w:tc>
          <w:tcPr>
            <w:tcW w:w="1559"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2.64</w:t>
            </w:r>
          </w:p>
        </w:tc>
        <w:tc>
          <w:tcPr>
            <w:tcW w:w="1417"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3.86</w:t>
            </w:r>
          </w:p>
        </w:tc>
        <w:tc>
          <w:tcPr>
            <w:tcW w:w="1329"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-31.61%</w:t>
            </w:r>
          </w:p>
        </w:tc>
        <w:tc>
          <w:tcPr>
            <w:tcW w:w="1157"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21.68</w:t>
            </w:r>
          </w:p>
        </w:tc>
        <w:tc>
          <w:tcPr>
            <w:tcW w:w="1157"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30.52</w:t>
            </w:r>
          </w:p>
        </w:tc>
        <w:tc>
          <w:tcPr>
            <w:tcW w:w="1158"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-28.96%</w:t>
            </w:r>
          </w:p>
        </w:tc>
      </w:tr>
      <w:tr>
        <w:tblPrEx>
          <w:tblCellMar>
            <w:top w:w="0" w:type="dxa"/>
            <w:left w:w="108" w:type="dxa"/>
            <w:bottom w:w="0" w:type="dxa"/>
            <w:right w:w="108" w:type="dxa"/>
          </w:tblCellMar>
        </w:tblPrEx>
        <w:trPr>
          <w:trHeight w:val="283" w:hRule="atLeast"/>
        </w:trPr>
        <w:tc>
          <w:tcPr>
            <w:tcW w:w="3392" w:type="dxa"/>
            <w:gridSpan w:val="4"/>
            <w:tcBorders>
              <w:top w:val="single" w:color="auto" w:sz="8" w:space="0"/>
              <w:left w:val="single" w:color="auto" w:sz="8" w:space="0"/>
              <w:bottom w:val="single" w:color="auto" w:sz="8" w:space="0"/>
              <w:right w:val="single" w:color="000000" w:sz="8" w:space="0"/>
            </w:tcBorders>
            <w:shd w:val="clear" w:color="auto" w:fill="auto"/>
            <w:vAlign w:val="center"/>
          </w:tcPr>
          <w:p>
            <w:pPr>
              <w:spacing w:after="0" w:line="240" w:lineRule="auto"/>
              <w:ind w:firstLine="0" w:firstLineChars="0"/>
              <w:rPr>
                <w:rFonts w:hint="eastAsia" w:ascii="仿宋_GB2312" w:hAnsi="DengXian" w:cs="宋体"/>
                <w:b/>
                <w:bCs/>
                <w:color w:val="000000"/>
                <w:kern w:val="0"/>
                <w:sz w:val="22"/>
              </w:rPr>
            </w:pPr>
            <w:r>
              <w:rPr>
                <w:rFonts w:hint="eastAsia" w:ascii="仿宋_GB2312" w:hAnsi="DengXian" w:cs="宋体"/>
                <w:b/>
                <w:bCs/>
                <w:color w:val="000000"/>
                <w:kern w:val="0"/>
                <w:sz w:val="22"/>
              </w:rPr>
              <w:t>4.收费景区（景点）入园人数</w:t>
            </w:r>
          </w:p>
        </w:tc>
        <w:tc>
          <w:tcPr>
            <w:tcW w:w="1560"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人 次</w:t>
            </w:r>
          </w:p>
        </w:tc>
        <w:tc>
          <w:tcPr>
            <w:tcW w:w="1559"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80220</w:t>
            </w:r>
          </w:p>
        </w:tc>
        <w:tc>
          <w:tcPr>
            <w:tcW w:w="1417"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99741</w:t>
            </w:r>
          </w:p>
        </w:tc>
        <w:tc>
          <w:tcPr>
            <w:tcW w:w="1329"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-19.57%</w:t>
            </w:r>
          </w:p>
        </w:tc>
        <w:tc>
          <w:tcPr>
            <w:tcW w:w="1157"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1226325</w:t>
            </w:r>
          </w:p>
        </w:tc>
        <w:tc>
          <w:tcPr>
            <w:tcW w:w="1157"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915881</w:t>
            </w:r>
          </w:p>
        </w:tc>
        <w:tc>
          <w:tcPr>
            <w:tcW w:w="1158"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33.90%</w:t>
            </w:r>
          </w:p>
        </w:tc>
      </w:tr>
      <w:tr>
        <w:tblPrEx>
          <w:tblCellMar>
            <w:top w:w="0" w:type="dxa"/>
            <w:left w:w="108" w:type="dxa"/>
            <w:bottom w:w="0" w:type="dxa"/>
            <w:right w:w="108" w:type="dxa"/>
          </w:tblCellMar>
        </w:tblPrEx>
        <w:trPr>
          <w:trHeight w:val="283" w:hRule="atLeast"/>
        </w:trPr>
        <w:tc>
          <w:tcPr>
            <w:tcW w:w="3392" w:type="dxa"/>
            <w:gridSpan w:val="4"/>
            <w:tcBorders>
              <w:top w:val="single" w:color="auto" w:sz="8" w:space="0"/>
              <w:left w:val="single" w:color="auto" w:sz="8" w:space="0"/>
              <w:bottom w:val="single" w:color="auto" w:sz="8" w:space="0"/>
              <w:right w:val="single" w:color="000000" w:sz="8" w:space="0"/>
            </w:tcBorders>
            <w:shd w:val="clear" w:color="auto" w:fill="auto"/>
            <w:vAlign w:val="bottom"/>
          </w:tcPr>
          <w:p>
            <w:pPr>
              <w:spacing w:after="0" w:line="240" w:lineRule="auto"/>
              <w:ind w:firstLine="0" w:firstLineChars="0"/>
              <w:jc w:val="center"/>
              <w:rPr>
                <w:rFonts w:hint="eastAsia" w:ascii="仿宋_GB2312" w:hAnsi="DengXian" w:cs="宋体"/>
                <w:color w:val="000000"/>
                <w:kern w:val="0"/>
                <w:sz w:val="22"/>
              </w:rPr>
            </w:pPr>
            <w:r>
              <w:rPr>
                <w:rFonts w:hint="eastAsia" w:ascii="仿宋_GB2312" w:hAnsi="DengXian" w:cs="宋体"/>
                <w:color w:val="000000"/>
                <w:kern w:val="0"/>
                <w:sz w:val="22"/>
              </w:rPr>
              <w:t>玫瑰海岸文化旅游度假区</w:t>
            </w:r>
          </w:p>
        </w:tc>
        <w:tc>
          <w:tcPr>
            <w:tcW w:w="1560"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color w:val="000000"/>
                <w:kern w:val="0"/>
                <w:sz w:val="22"/>
              </w:rPr>
            </w:pPr>
            <w:r>
              <w:rPr>
                <w:rFonts w:hint="eastAsia" w:ascii="仿宋_GB2312" w:hAnsi="DengXian" w:cs="宋体"/>
                <w:color w:val="000000"/>
                <w:kern w:val="0"/>
                <w:sz w:val="22"/>
              </w:rPr>
              <w:t>人 次</w:t>
            </w:r>
          </w:p>
        </w:tc>
        <w:tc>
          <w:tcPr>
            <w:tcW w:w="1559"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30028</w:t>
            </w:r>
          </w:p>
        </w:tc>
        <w:tc>
          <w:tcPr>
            <w:tcW w:w="1417"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37094</w:t>
            </w:r>
          </w:p>
        </w:tc>
        <w:tc>
          <w:tcPr>
            <w:tcW w:w="1329"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-19.05%</w:t>
            </w:r>
          </w:p>
        </w:tc>
        <w:tc>
          <w:tcPr>
            <w:tcW w:w="1157"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487675</w:t>
            </w:r>
          </w:p>
        </w:tc>
        <w:tc>
          <w:tcPr>
            <w:tcW w:w="1157"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319479</w:t>
            </w:r>
          </w:p>
        </w:tc>
        <w:tc>
          <w:tcPr>
            <w:tcW w:w="1158"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52.65%</w:t>
            </w:r>
          </w:p>
        </w:tc>
      </w:tr>
      <w:tr>
        <w:tblPrEx>
          <w:tblCellMar>
            <w:top w:w="0" w:type="dxa"/>
            <w:left w:w="108" w:type="dxa"/>
            <w:bottom w:w="0" w:type="dxa"/>
            <w:right w:w="108" w:type="dxa"/>
          </w:tblCellMar>
        </w:tblPrEx>
        <w:trPr>
          <w:trHeight w:val="283" w:hRule="atLeast"/>
        </w:trPr>
        <w:tc>
          <w:tcPr>
            <w:tcW w:w="3392" w:type="dxa"/>
            <w:gridSpan w:val="4"/>
            <w:tcBorders>
              <w:top w:val="single" w:color="auto" w:sz="8" w:space="0"/>
              <w:left w:val="single" w:color="auto" w:sz="8" w:space="0"/>
              <w:bottom w:val="single" w:color="auto" w:sz="8" w:space="0"/>
              <w:right w:val="single" w:color="000000" w:sz="8" w:space="0"/>
            </w:tcBorders>
            <w:shd w:val="clear" w:color="auto" w:fill="auto"/>
            <w:vAlign w:val="bottom"/>
          </w:tcPr>
          <w:p>
            <w:pPr>
              <w:spacing w:after="0" w:line="240" w:lineRule="auto"/>
              <w:ind w:firstLine="0" w:firstLineChars="0"/>
              <w:jc w:val="center"/>
              <w:rPr>
                <w:rFonts w:hint="eastAsia" w:ascii="仿宋_GB2312" w:hAnsi="DengXian" w:cs="宋体"/>
                <w:color w:val="000000"/>
                <w:kern w:val="0"/>
                <w:sz w:val="22"/>
              </w:rPr>
            </w:pPr>
            <w:r>
              <w:rPr>
                <w:rFonts w:hint="eastAsia" w:ascii="仿宋_GB2312" w:hAnsi="DengXian" w:cs="宋体"/>
                <w:color w:val="000000"/>
                <w:kern w:val="0"/>
                <w:sz w:val="22"/>
              </w:rPr>
              <w:t>中信金沙湾水世界</w:t>
            </w:r>
          </w:p>
        </w:tc>
        <w:tc>
          <w:tcPr>
            <w:tcW w:w="1560"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color w:val="000000"/>
                <w:kern w:val="0"/>
                <w:sz w:val="22"/>
              </w:rPr>
            </w:pPr>
            <w:r>
              <w:rPr>
                <w:rFonts w:hint="eastAsia" w:ascii="仿宋_GB2312" w:hAnsi="DengXian" w:cs="宋体"/>
                <w:color w:val="000000"/>
                <w:kern w:val="0"/>
                <w:sz w:val="22"/>
              </w:rPr>
              <w:t>人 次</w:t>
            </w:r>
          </w:p>
        </w:tc>
        <w:tc>
          <w:tcPr>
            <w:tcW w:w="1559"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4636</w:t>
            </w:r>
          </w:p>
        </w:tc>
        <w:tc>
          <w:tcPr>
            <w:tcW w:w="1417"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4217</w:t>
            </w:r>
          </w:p>
        </w:tc>
        <w:tc>
          <w:tcPr>
            <w:tcW w:w="1329"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10.00%</w:t>
            </w:r>
          </w:p>
        </w:tc>
        <w:tc>
          <w:tcPr>
            <w:tcW w:w="1157"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91494</w:t>
            </w:r>
          </w:p>
        </w:tc>
        <w:tc>
          <w:tcPr>
            <w:tcW w:w="1157"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54405</w:t>
            </w:r>
          </w:p>
        </w:tc>
        <w:tc>
          <w:tcPr>
            <w:tcW w:w="1158"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68.00%</w:t>
            </w:r>
          </w:p>
        </w:tc>
      </w:tr>
      <w:tr>
        <w:tblPrEx>
          <w:tblCellMar>
            <w:top w:w="0" w:type="dxa"/>
            <w:left w:w="108" w:type="dxa"/>
            <w:bottom w:w="0" w:type="dxa"/>
            <w:right w:w="108" w:type="dxa"/>
          </w:tblCellMar>
        </w:tblPrEx>
        <w:trPr>
          <w:trHeight w:val="283" w:hRule="atLeast"/>
        </w:trPr>
        <w:tc>
          <w:tcPr>
            <w:tcW w:w="3392" w:type="dxa"/>
            <w:gridSpan w:val="4"/>
            <w:tcBorders>
              <w:top w:val="single" w:color="auto" w:sz="8" w:space="0"/>
              <w:left w:val="single" w:color="auto" w:sz="8" w:space="0"/>
              <w:bottom w:val="single" w:color="auto" w:sz="8" w:space="0"/>
              <w:right w:val="single" w:color="000000" w:sz="8" w:space="0"/>
            </w:tcBorders>
            <w:shd w:val="clear" w:color="auto" w:fill="auto"/>
            <w:vAlign w:val="bottom"/>
          </w:tcPr>
          <w:p>
            <w:pPr>
              <w:spacing w:after="0" w:line="240" w:lineRule="auto"/>
              <w:ind w:firstLine="0" w:firstLineChars="0"/>
              <w:jc w:val="center"/>
              <w:rPr>
                <w:rFonts w:hint="eastAsia" w:ascii="仿宋_GB2312" w:hAnsi="DengXian" w:cs="宋体"/>
                <w:color w:val="000000"/>
                <w:kern w:val="0"/>
                <w:sz w:val="22"/>
              </w:rPr>
            </w:pPr>
            <w:r>
              <w:rPr>
                <w:rFonts w:hint="eastAsia" w:ascii="仿宋_GB2312" w:hAnsi="DengXian" w:cs="宋体"/>
                <w:color w:val="000000"/>
                <w:kern w:val="0"/>
                <w:sz w:val="22"/>
              </w:rPr>
              <w:t>西涌滨海旅游度假区</w:t>
            </w:r>
          </w:p>
        </w:tc>
        <w:tc>
          <w:tcPr>
            <w:tcW w:w="1560"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color w:val="000000"/>
                <w:kern w:val="0"/>
                <w:sz w:val="22"/>
              </w:rPr>
            </w:pPr>
            <w:r>
              <w:rPr>
                <w:rFonts w:hint="eastAsia" w:ascii="仿宋_GB2312" w:hAnsi="DengXian" w:cs="宋体"/>
                <w:color w:val="000000"/>
                <w:kern w:val="0"/>
                <w:sz w:val="22"/>
              </w:rPr>
              <w:t>人 次</w:t>
            </w:r>
          </w:p>
        </w:tc>
        <w:tc>
          <w:tcPr>
            <w:tcW w:w="1559"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39456</w:t>
            </w:r>
          </w:p>
        </w:tc>
        <w:tc>
          <w:tcPr>
            <w:tcW w:w="1417"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45330</w:t>
            </w:r>
          </w:p>
        </w:tc>
        <w:tc>
          <w:tcPr>
            <w:tcW w:w="1329"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-12.95%</w:t>
            </w:r>
          </w:p>
        </w:tc>
        <w:tc>
          <w:tcPr>
            <w:tcW w:w="1157"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541256</w:t>
            </w:r>
          </w:p>
        </w:tc>
        <w:tc>
          <w:tcPr>
            <w:tcW w:w="1157"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439897</w:t>
            </w:r>
          </w:p>
        </w:tc>
        <w:tc>
          <w:tcPr>
            <w:tcW w:w="1158"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23.04%</w:t>
            </w:r>
          </w:p>
        </w:tc>
      </w:tr>
      <w:tr>
        <w:tblPrEx>
          <w:tblCellMar>
            <w:top w:w="0" w:type="dxa"/>
            <w:left w:w="108" w:type="dxa"/>
            <w:bottom w:w="0" w:type="dxa"/>
            <w:right w:w="108" w:type="dxa"/>
          </w:tblCellMar>
        </w:tblPrEx>
        <w:trPr>
          <w:trHeight w:val="283" w:hRule="atLeast"/>
        </w:trPr>
        <w:tc>
          <w:tcPr>
            <w:tcW w:w="3392" w:type="dxa"/>
            <w:gridSpan w:val="4"/>
            <w:tcBorders>
              <w:top w:val="single" w:color="auto" w:sz="8" w:space="0"/>
              <w:left w:val="single" w:color="auto" w:sz="8" w:space="0"/>
              <w:bottom w:val="single" w:color="auto" w:sz="8" w:space="0"/>
              <w:right w:val="single" w:color="000000" w:sz="8" w:space="0"/>
            </w:tcBorders>
            <w:shd w:val="clear" w:color="auto" w:fill="auto"/>
            <w:vAlign w:val="bottom"/>
          </w:tcPr>
          <w:p>
            <w:pPr>
              <w:spacing w:after="0" w:line="240" w:lineRule="auto"/>
              <w:ind w:firstLine="0" w:firstLineChars="0"/>
              <w:jc w:val="center"/>
              <w:rPr>
                <w:rFonts w:hint="eastAsia" w:ascii="仿宋_GB2312" w:hAnsi="DengXian" w:cs="宋体"/>
                <w:color w:val="000000"/>
                <w:kern w:val="0"/>
                <w:sz w:val="22"/>
              </w:rPr>
            </w:pPr>
            <w:r>
              <w:rPr>
                <w:rFonts w:hint="eastAsia" w:ascii="仿宋_GB2312" w:hAnsi="DengXian" w:cs="宋体"/>
                <w:color w:val="000000"/>
                <w:kern w:val="0"/>
                <w:sz w:val="22"/>
              </w:rPr>
              <w:t>东涌滨海旅游度假区</w:t>
            </w:r>
          </w:p>
        </w:tc>
        <w:tc>
          <w:tcPr>
            <w:tcW w:w="1560"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color w:val="000000"/>
                <w:kern w:val="0"/>
                <w:sz w:val="22"/>
              </w:rPr>
            </w:pPr>
            <w:r>
              <w:rPr>
                <w:rFonts w:hint="eastAsia" w:ascii="仿宋_GB2312" w:hAnsi="DengXian" w:cs="宋体"/>
                <w:color w:val="000000"/>
                <w:kern w:val="0"/>
                <w:sz w:val="22"/>
              </w:rPr>
              <w:t>人 次</w:t>
            </w:r>
          </w:p>
        </w:tc>
        <w:tc>
          <w:tcPr>
            <w:tcW w:w="1559"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6100</w:t>
            </w:r>
          </w:p>
        </w:tc>
        <w:tc>
          <w:tcPr>
            <w:tcW w:w="1417"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13100</w:t>
            </w:r>
          </w:p>
        </w:tc>
        <w:tc>
          <w:tcPr>
            <w:tcW w:w="1329"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-53.40%</w:t>
            </w:r>
          </w:p>
        </w:tc>
        <w:tc>
          <w:tcPr>
            <w:tcW w:w="1157"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105900</w:t>
            </w:r>
          </w:p>
        </w:tc>
        <w:tc>
          <w:tcPr>
            <w:tcW w:w="1157"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102100</w:t>
            </w:r>
          </w:p>
        </w:tc>
        <w:tc>
          <w:tcPr>
            <w:tcW w:w="1158"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0.37%</w:t>
            </w:r>
          </w:p>
        </w:tc>
      </w:tr>
      <w:tr>
        <w:tblPrEx>
          <w:tblCellMar>
            <w:top w:w="0" w:type="dxa"/>
            <w:left w:w="108" w:type="dxa"/>
            <w:bottom w:w="0" w:type="dxa"/>
            <w:right w:w="108" w:type="dxa"/>
          </w:tblCellMar>
        </w:tblPrEx>
        <w:trPr>
          <w:trHeight w:val="283" w:hRule="atLeast"/>
        </w:trPr>
        <w:tc>
          <w:tcPr>
            <w:tcW w:w="3392" w:type="dxa"/>
            <w:gridSpan w:val="4"/>
            <w:tcBorders>
              <w:top w:val="single" w:color="auto" w:sz="8" w:space="0"/>
              <w:left w:val="single" w:color="auto" w:sz="8" w:space="0"/>
              <w:bottom w:val="single" w:color="auto" w:sz="8" w:space="0"/>
              <w:right w:val="single" w:color="000000" w:sz="8" w:space="0"/>
            </w:tcBorders>
            <w:shd w:val="clear" w:color="auto" w:fill="auto"/>
            <w:vAlign w:val="center"/>
          </w:tcPr>
          <w:p>
            <w:pPr>
              <w:spacing w:after="0" w:line="240" w:lineRule="auto"/>
              <w:ind w:firstLine="0" w:firstLineChars="0"/>
              <w:rPr>
                <w:rFonts w:hint="eastAsia" w:ascii="仿宋_GB2312" w:hAnsi="DengXian" w:cs="宋体"/>
                <w:b/>
                <w:bCs/>
                <w:color w:val="000000"/>
                <w:kern w:val="0"/>
                <w:sz w:val="22"/>
              </w:rPr>
            </w:pPr>
            <w:r>
              <w:rPr>
                <w:rFonts w:hint="eastAsia" w:ascii="仿宋_GB2312" w:hAnsi="DengXian" w:cs="宋体"/>
                <w:b/>
                <w:bCs/>
                <w:color w:val="000000"/>
                <w:kern w:val="0"/>
                <w:sz w:val="22"/>
              </w:rPr>
              <w:t>5.住宿业入住人数</w:t>
            </w:r>
          </w:p>
        </w:tc>
        <w:tc>
          <w:tcPr>
            <w:tcW w:w="1560"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人</w:t>
            </w:r>
          </w:p>
        </w:tc>
        <w:tc>
          <w:tcPr>
            <w:tcW w:w="1559"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131072</w:t>
            </w:r>
          </w:p>
        </w:tc>
        <w:tc>
          <w:tcPr>
            <w:tcW w:w="1417"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109737</w:t>
            </w:r>
          </w:p>
        </w:tc>
        <w:tc>
          <w:tcPr>
            <w:tcW w:w="1329"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19.40%</w:t>
            </w:r>
          </w:p>
        </w:tc>
        <w:tc>
          <w:tcPr>
            <w:tcW w:w="1157"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10117219</w:t>
            </w:r>
          </w:p>
        </w:tc>
        <w:tc>
          <w:tcPr>
            <w:tcW w:w="1157"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8248246</w:t>
            </w:r>
          </w:p>
        </w:tc>
        <w:tc>
          <w:tcPr>
            <w:tcW w:w="1158"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22.70%</w:t>
            </w:r>
          </w:p>
        </w:tc>
      </w:tr>
      <w:tr>
        <w:tblPrEx>
          <w:tblCellMar>
            <w:top w:w="0" w:type="dxa"/>
            <w:left w:w="108" w:type="dxa"/>
            <w:bottom w:w="0" w:type="dxa"/>
            <w:right w:w="108" w:type="dxa"/>
          </w:tblCellMar>
        </w:tblPrEx>
        <w:trPr>
          <w:trHeight w:val="283" w:hRule="atLeast"/>
        </w:trPr>
        <w:tc>
          <w:tcPr>
            <w:tcW w:w="3392" w:type="dxa"/>
            <w:gridSpan w:val="4"/>
            <w:tcBorders>
              <w:top w:val="single" w:color="auto" w:sz="8" w:space="0"/>
              <w:left w:val="single" w:color="auto" w:sz="8" w:space="0"/>
              <w:bottom w:val="single" w:color="auto" w:sz="8" w:space="0"/>
              <w:right w:val="single" w:color="000000" w:sz="8" w:space="0"/>
            </w:tcBorders>
            <w:shd w:val="clear" w:color="auto" w:fill="auto"/>
            <w:vAlign w:val="center"/>
          </w:tcPr>
          <w:p>
            <w:pPr>
              <w:spacing w:after="0" w:line="240" w:lineRule="auto"/>
              <w:ind w:firstLine="0" w:firstLineChars="0"/>
              <w:jc w:val="center"/>
              <w:rPr>
                <w:rFonts w:hint="eastAsia" w:ascii="仿宋_GB2312" w:hAnsi="DengXian" w:cs="宋体"/>
                <w:color w:val="000000"/>
                <w:kern w:val="0"/>
                <w:sz w:val="22"/>
              </w:rPr>
            </w:pPr>
            <w:r>
              <w:rPr>
                <w:rFonts w:hint="eastAsia" w:ascii="仿宋_GB2312" w:hAnsi="DengXian" w:cs="宋体"/>
                <w:color w:val="000000"/>
                <w:kern w:val="0"/>
                <w:sz w:val="22"/>
              </w:rPr>
              <w:t>民宿总入住人数</w:t>
            </w:r>
          </w:p>
        </w:tc>
        <w:tc>
          <w:tcPr>
            <w:tcW w:w="1560"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color w:val="000000"/>
                <w:kern w:val="0"/>
                <w:sz w:val="22"/>
              </w:rPr>
            </w:pPr>
            <w:r>
              <w:rPr>
                <w:rFonts w:hint="eastAsia" w:ascii="仿宋_GB2312" w:hAnsi="DengXian" w:cs="宋体"/>
                <w:color w:val="000000"/>
                <w:kern w:val="0"/>
                <w:sz w:val="22"/>
              </w:rPr>
              <w:t>人</w:t>
            </w:r>
          </w:p>
        </w:tc>
        <w:tc>
          <w:tcPr>
            <w:tcW w:w="1559"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51301</w:t>
            </w:r>
          </w:p>
        </w:tc>
        <w:tc>
          <w:tcPr>
            <w:tcW w:w="1417"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52162</w:t>
            </w:r>
          </w:p>
        </w:tc>
        <w:tc>
          <w:tcPr>
            <w:tcW w:w="1329"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-1.70%</w:t>
            </w:r>
          </w:p>
        </w:tc>
        <w:tc>
          <w:tcPr>
            <w:tcW w:w="1157"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5695973</w:t>
            </w:r>
          </w:p>
        </w:tc>
        <w:tc>
          <w:tcPr>
            <w:tcW w:w="1157"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4850665</w:t>
            </w:r>
          </w:p>
        </w:tc>
        <w:tc>
          <w:tcPr>
            <w:tcW w:w="1158" w:type="dxa"/>
            <w:tcBorders>
              <w:top w:val="nil"/>
              <w:left w:val="nil"/>
              <w:bottom w:val="single" w:color="auto" w:sz="8"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17.40%</w:t>
            </w:r>
          </w:p>
        </w:tc>
      </w:tr>
      <w:tr>
        <w:tblPrEx>
          <w:tblCellMar>
            <w:top w:w="0" w:type="dxa"/>
            <w:left w:w="108" w:type="dxa"/>
            <w:bottom w:w="0" w:type="dxa"/>
            <w:right w:w="108" w:type="dxa"/>
          </w:tblCellMar>
        </w:tblPrEx>
        <w:trPr>
          <w:trHeight w:val="283" w:hRule="atLeast"/>
        </w:trPr>
        <w:tc>
          <w:tcPr>
            <w:tcW w:w="3392" w:type="dxa"/>
            <w:gridSpan w:val="4"/>
            <w:tcBorders>
              <w:top w:val="single" w:color="auto" w:sz="8" w:space="0"/>
              <w:left w:val="single" w:color="auto" w:sz="8" w:space="0"/>
              <w:bottom w:val="single" w:color="auto" w:sz="4" w:space="0"/>
              <w:right w:val="single" w:color="000000" w:sz="8" w:space="0"/>
            </w:tcBorders>
            <w:shd w:val="clear" w:color="auto" w:fill="auto"/>
            <w:vAlign w:val="center"/>
          </w:tcPr>
          <w:p>
            <w:pPr>
              <w:spacing w:after="0" w:line="240" w:lineRule="auto"/>
              <w:ind w:firstLine="0" w:firstLineChars="0"/>
              <w:jc w:val="center"/>
              <w:rPr>
                <w:rFonts w:hint="eastAsia" w:ascii="仿宋_GB2312" w:hAnsi="DengXian" w:cs="宋体"/>
                <w:color w:val="000000"/>
                <w:kern w:val="0"/>
                <w:sz w:val="22"/>
              </w:rPr>
            </w:pPr>
            <w:r>
              <w:rPr>
                <w:rFonts w:hint="eastAsia" w:ascii="仿宋_GB2312" w:hAnsi="DengXian" w:cs="宋体"/>
                <w:color w:val="000000"/>
                <w:kern w:val="0"/>
                <w:sz w:val="22"/>
              </w:rPr>
              <w:t>酒店总入住人数</w:t>
            </w:r>
          </w:p>
        </w:tc>
        <w:tc>
          <w:tcPr>
            <w:tcW w:w="1560" w:type="dxa"/>
            <w:tcBorders>
              <w:top w:val="nil"/>
              <w:left w:val="nil"/>
              <w:bottom w:val="single" w:color="auto" w:sz="4"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color w:val="000000"/>
                <w:kern w:val="0"/>
                <w:sz w:val="22"/>
              </w:rPr>
            </w:pPr>
            <w:r>
              <w:rPr>
                <w:rFonts w:hint="eastAsia" w:ascii="仿宋_GB2312" w:hAnsi="DengXian" w:cs="宋体"/>
                <w:color w:val="000000"/>
                <w:kern w:val="0"/>
                <w:sz w:val="22"/>
              </w:rPr>
              <w:t>人</w:t>
            </w:r>
          </w:p>
        </w:tc>
        <w:tc>
          <w:tcPr>
            <w:tcW w:w="1559" w:type="dxa"/>
            <w:tcBorders>
              <w:top w:val="nil"/>
              <w:left w:val="nil"/>
              <w:bottom w:val="single" w:color="auto" w:sz="4"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79771</w:t>
            </w:r>
          </w:p>
        </w:tc>
        <w:tc>
          <w:tcPr>
            <w:tcW w:w="1417" w:type="dxa"/>
            <w:tcBorders>
              <w:top w:val="nil"/>
              <w:left w:val="nil"/>
              <w:bottom w:val="single" w:color="auto" w:sz="4"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57575</w:t>
            </w:r>
          </w:p>
        </w:tc>
        <w:tc>
          <w:tcPr>
            <w:tcW w:w="1329" w:type="dxa"/>
            <w:tcBorders>
              <w:top w:val="nil"/>
              <w:left w:val="nil"/>
              <w:bottom w:val="single" w:color="auto" w:sz="4"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38.60%</w:t>
            </w:r>
          </w:p>
        </w:tc>
        <w:tc>
          <w:tcPr>
            <w:tcW w:w="1157" w:type="dxa"/>
            <w:tcBorders>
              <w:top w:val="nil"/>
              <w:left w:val="nil"/>
              <w:bottom w:val="single" w:color="auto" w:sz="4"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4421246</w:t>
            </w:r>
          </w:p>
        </w:tc>
        <w:tc>
          <w:tcPr>
            <w:tcW w:w="1157" w:type="dxa"/>
            <w:tcBorders>
              <w:top w:val="nil"/>
              <w:left w:val="nil"/>
              <w:bottom w:val="single" w:color="auto" w:sz="4"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3397581</w:t>
            </w:r>
          </w:p>
        </w:tc>
        <w:tc>
          <w:tcPr>
            <w:tcW w:w="1158" w:type="dxa"/>
            <w:tcBorders>
              <w:top w:val="nil"/>
              <w:left w:val="nil"/>
              <w:bottom w:val="single" w:color="auto" w:sz="4" w:space="0"/>
              <w:right w:val="single" w:color="auto" w:sz="8" w:space="0"/>
            </w:tcBorders>
            <w:shd w:val="clear" w:color="auto" w:fill="auto"/>
            <w:vAlign w:val="center"/>
          </w:tcPr>
          <w:p>
            <w:pPr>
              <w:spacing w:after="0" w:line="240" w:lineRule="auto"/>
              <w:ind w:firstLine="0" w:firstLineChars="0"/>
              <w:jc w:val="center"/>
              <w:rPr>
                <w:rFonts w:hint="eastAsia" w:ascii="仿宋_GB2312" w:hAnsi="DengXian" w:cs="宋体"/>
                <w:b/>
                <w:bCs/>
                <w:color w:val="000000"/>
                <w:kern w:val="0"/>
                <w:sz w:val="22"/>
              </w:rPr>
            </w:pPr>
            <w:r>
              <w:rPr>
                <w:rFonts w:hint="eastAsia" w:ascii="仿宋_GB2312" w:hAnsi="DengXian" w:cs="宋体"/>
                <w:b/>
                <w:bCs/>
                <w:color w:val="000000"/>
                <w:kern w:val="0"/>
                <w:sz w:val="22"/>
              </w:rPr>
              <w:t>30.10%</w:t>
            </w:r>
          </w:p>
        </w:tc>
      </w:tr>
      <w:tr>
        <w:tblPrEx>
          <w:tblCellMar>
            <w:top w:w="0" w:type="dxa"/>
            <w:left w:w="108" w:type="dxa"/>
            <w:bottom w:w="0" w:type="dxa"/>
            <w:right w:w="108" w:type="dxa"/>
          </w:tblCellMar>
        </w:tblPrEx>
        <w:trPr>
          <w:trHeight w:val="654" w:hRule="atLeast"/>
        </w:trPr>
        <w:tc>
          <w:tcPr>
            <w:tcW w:w="12729" w:type="dxa"/>
            <w:gridSpan w:val="11"/>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440"/>
              <w:textAlignment w:val="auto"/>
              <w:rPr>
                <w:rFonts w:hint="eastAsia" w:ascii="仿宋_GB2312" w:hAnsi="DengXian" w:cs="宋体"/>
                <w:color w:val="000000"/>
                <w:kern w:val="0"/>
                <w:sz w:val="21"/>
                <w:szCs w:val="21"/>
              </w:rPr>
            </w:pPr>
            <w:r>
              <w:rPr>
                <w:rFonts w:hint="eastAsia" w:ascii="仿宋_GB2312" w:hAnsi="DengXian" w:cs="宋体"/>
                <w:color w:val="000000"/>
                <w:kern w:val="0"/>
                <w:sz w:val="21"/>
                <w:szCs w:val="21"/>
              </w:rPr>
              <w:t>其中，2023年9月份万豪酒店入住人数为</w:t>
            </w:r>
            <w:r>
              <w:rPr>
                <w:rFonts w:hint="eastAsia" w:ascii="仿宋_GB2312" w:hAnsi="DengXian" w:cs="宋体"/>
                <w:color w:val="000000"/>
                <w:kern w:val="0"/>
                <w:sz w:val="21"/>
                <w:szCs w:val="21"/>
                <w:u w:val="single"/>
              </w:rPr>
              <w:t xml:space="preserve"> 4789 </w:t>
            </w:r>
            <w:r>
              <w:rPr>
                <w:rFonts w:hint="eastAsia" w:ascii="仿宋_GB2312" w:hAnsi="DengXian" w:cs="宋体"/>
                <w:color w:val="000000"/>
                <w:kern w:val="0"/>
                <w:sz w:val="21"/>
                <w:szCs w:val="21"/>
              </w:rPr>
              <w:t>，入住率为</w:t>
            </w:r>
            <w:r>
              <w:rPr>
                <w:rFonts w:hint="eastAsia" w:ascii="仿宋_GB2312" w:hAnsi="DengXian" w:cs="宋体"/>
                <w:color w:val="000000"/>
                <w:kern w:val="0"/>
                <w:sz w:val="21"/>
                <w:szCs w:val="21"/>
                <w:u w:val="single"/>
              </w:rPr>
              <w:t xml:space="preserve">  9.2 %</w:t>
            </w:r>
            <w:r>
              <w:rPr>
                <w:rFonts w:hint="eastAsia" w:ascii="仿宋_GB2312" w:hAnsi="DengXian" w:cs="宋体"/>
                <w:color w:val="000000"/>
                <w:kern w:val="0"/>
                <w:sz w:val="21"/>
                <w:szCs w:val="21"/>
              </w:rPr>
              <w:t xml:space="preserve">，同比去年增长 </w:t>
            </w:r>
            <w:r>
              <w:rPr>
                <w:rFonts w:hint="eastAsia" w:ascii="仿宋_GB2312" w:hAnsi="DengXian" w:cs="宋体"/>
                <w:color w:val="000000"/>
                <w:kern w:val="0"/>
                <w:sz w:val="21"/>
                <w:szCs w:val="21"/>
                <w:u w:val="single"/>
              </w:rPr>
              <w:t xml:space="preserve"> 32.38 %</w:t>
            </w:r>
            <w:r>
              <w:rPr>
                <w:rFonts w:hint="eastAsia" w:ascii="仿宋_GB2312" w:hAnsi="DengXian" w:cs="宋体"/>
                <w:color w:val="000000"/>
                <w:kern w:val="0"/>
                <w:sz w:val="21"/>
                <w:szCs w:val="21"/>
              </w:rPr>
              <w:t>；莱华酒店入住人数为</w:t>
            </w:r>
            <w:r>
              <w:rPr>
                <w:rFonts w:hint="eastAsia" w:ascii="仿宋_GB2312" w:hAnsi="DengXian" w:cs="宋体"/>
                <w:color w:val="000000"/>
                <w:kern w:val="0"/>
                <w:sz w:val="21"/>
                <w:szCs w:val="21"/>
                <w:u w:val="single"/>
              </w:rPr>
              <w:t xml:space="preserve"> 6565 </w:t>
            </w:r>
            <w:r>
              <w:rPr>
                <w:rFonts w:hint="eastAsia" w:ascii="仿宋_GB2312" w:hAnsi="DengXian" w:cs="宋体"/>
                <w:color w:val="000000"/>
                <w:kern w:val="0"/>
                <w:sz w:val="21"/>
                <w:szCs w:val="21"/>
              </w:rPr>
              <w:t>，入住率为</w:t>
            </w:r>
            <w:r>
              <w:rPr>
                <w:rFonts w:hint="eastAsia" w:ascii="仿宋_GB2312" w:hAnsi="DengXian" w:cs="宋体"/>
                <w:color w:val="000000"/>
                <w:kern w:val="0"/>
                <w:sz w:val="21"/>
                <w:szCs w:val="21"/>
                <w:u w:val="single"/>
              </w:rPr>
              <w:t xml:space="preserve"> 3.2%</w:t>
            </w:r>
            <w:r>
              <w:rPr>
                <w:rFonts w:hint="eastAsia" w:ascii="仿宋_GB2312" w:hAnsi="DengXian" w:cs="宋体"/>
                <w:color w:val="000000"/>
                <w:kern w:val="0"/>
                <w:sz w:val="21"/>
                <w:szCs w:val="21"/>
              </w:rPr>
              <w:t>，同比去年增长</w:t>
            </w:r>
            <w:r>
              <w:rPr>
                <w:rFonts w:hint="eastAsia" w:ascii="仿宋_GB2312" w:hAnsi="DengXian" w:cs="宋体"/>
                <w:color w:val="000000"/>
                <w:kern w:val="0"/>
                <w:sz w:val="21"/>
                <w:szCs w:val="21"/>
                <w:u w:val="single"/>
              </w:rPr>
              <w:t xml:space="preserve"> 57.59%</w:t>
            </w:r>
            <w:r>
              <w:rPr>
                <w:rFonts w:hint="eastAsia" w:ascii="仿宋_GB2312" w:hAnsi="DengXian" w:cs="宋体"/>
                <w:color w:val="000000"/>
                <w:kern w:val="0"/>
                <w:sz w:val="21"/>
                <w:szCs w:val="21"/>
              </w:rPr>
              <w:t>；瞻云酒店入住人数为</w:t>
            </w:r>
            <w:r>
              <w:rPr>
                <w:rFonts w:hint="eastAsia" w:ascii="仿宋_GB2312" w:hAnsi="DengXian" w:cs="宋体"/>
                <w:color w:val="000000"/>
                <w:kern w:val="0"/>
                <w:sz w:val="21"/>
                <w:szCs w:val="21"/>
                <w:u w:val="single"/>
              </w:rPr>
              <w:t xml:space="preserve"> 4525 </w:t>
            </w:r>
            <w:r>
              <w:rPr>
                <w:rFonts w:hint="eastAsia" w:ascii="仿宋_GB2312" w:hAnsi="DengXian" w:cs="宋体"/>
                <w:color w:val="000000"/>
                <w:kern w:val="0"/>
                <w:sz w:val="21"/>
                <w:szCs w:val="21"/>
              </w:rPr>
              <w:t>，入住率为</w:t>
            </w:r>
            <w:r>
              <w:rPr>
                <w:rFonts w:hint="eastAsia" w:ascii="仿宋_GB2312" w:hAnsi="DengXian" w:cs="宋体"/>
                <w:color w:val="000000"/>
                <w:kern w:val="0"/>
                <w:sz w:val="21"/>
                <w:szCs w:val="21"/>
                <w:u w:val="single"/>
              </w:rPr>
              <w:t xml:space="preserve"> 20.5%</w:t>
            </w:r>
            <w:r>
              <w:rPr>
                <w:rFonts w:hint="eastAsia" w:ascii="仿宋_GB2312" w:hAnsi="DengXian" w:cs="宋体"/>
                <w:color w:val="000000"/>
                <w:kern w:val="0"/>
                <w:sz w:val="21"/>
                <w:szCs w:val="21"/>
              </w:rPr>
              <w:t>，同比去年增长</w:t>
            </w:r>
            <w:r>
              <w:rPr>
                <w:rFonts w:hint="eastAsia" w:ascii="仿宋_GB2312" w:hAnsi="DengXian" w:cs="宋体"/>
                <w:color w:val="000000"/>
                <w:kern w:val="0"/>
                <w:sz w:val="21"/>
                <w:szCs w:val="21"/>
                <w:u w:val="single"/>
              </w:rPr>
              <w:t xml:space="preserve">  32.51%</w:t>
            </w:r>
            <w:r>
              <w:rPr>
                <w:rFonts w:hint="eastAsia" w:ascii="仿宋_GB2312" w:hAnsi="DengXian" w:cs="宋体"/>
                <w:color w:val="000000"/>
                <w:kern w:val="0"/>
                <w:sz w:val="21"/>
                <w:szCs w:val="21"/>
              </w:rPr>
              <w:t>。</w:t>
            </w:r>
          </w:p>
        </w:tc>
      </w:tr>
      <w:tr>
        <w:tblPrEx>
          <w:tblCellMar>
            <w:top w:w="0" w:type="dxa"/>
            <w:left w:w="108" w:type="dxa"/>
            <w:bottom w:w="0" w:type="dxa"/>
            <w:right w:w="108" w:type="dxa"/>
          </w:tblCellMar>
        </w:tblPrEx>
        <w:trPr>
          <w:trHeight w:val="279" w:hRule="atLeast"/>
        </w:trPr>
        <w:tc>
          <w:tcPr>
            <w:tcW w:w="12729"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left"/>
              <w:textAlignment w:val="auto"/>
              <w:rPr>
                <w:rFonts w:hint="eastAsia" w:ascii="仿宋_GB2312" w:hAnsi="仿宋_GB2312" w:cs="仿宋_GB2312"/>
                <w:b w:val="0"/>
                <w:bCs w:val="0"/>
                <w:color w:val="000000"/>
                <w:kern w:val="0"/>
                <w:sz w:val="16"/>
                <w:szCs w:val="16"/>
                <w:lang w:val="en-US" w:eastAsia="zh-CN"/>
              </w:rPr>
            </w:pPr>
            <w:r>
              <w:rPr>
                <w:rFonts w:hint="eastAsia" w:ascii="仿宋_GB2312" w:hAnsi="仿宋_GB2312" w:cs="仿宋_GB2312"/>
                <w:b/>
                <w:bCs/>
                <w:color w:val="000000"/>
                <w:kern w:val="0"/>
                <w:sz w:val="16"/>
                <w:szCs w:val="16"/>
                <w:lang w:eastAsia="zh-CN"/>
              </w:rPr>
              <w:t>备注：</w:t>
            </w:r>
            <w:r>
              <w:rPr>
                <w:rFonts w:hint="eastAsia" w:ascii="仿宋_GB2312" w:hAnsi="仿宋_GB2312" w:cs="仿宋_GB2312"/>
                <w:b w:val="0"/>
                <w:bCs w:val="0"/>
                <w:color w:val="000000"/>
                <w:kern w:val="0"/>
                <w:sz w:val="16"/>
                <w:szCs w:val="16"/>
                <w:lang w:val="en-US" w:eastAsia="zh-CN"/>
              </w:rPr>
              <w:t>1.全区旅游接待总人数和热门旅游片区接待人数由移动旅游大数据统计，按照剔除“过路用户”（停留时间小于或等于30分钟的移动用户）和“常驻用户”（月均出现在大鹏新区超过15天，且驻留时长每天超过8小时的移动用户），按自然日去重（一天内去一次或多次，都只统计一次，并计算统计周期内的游客人数总和），“扩样”（移动号码市场占有率73%）而来。2.旅游消费数据收入来源—银联。3.收费景区（景点）入园人数由企业直报。4.住宿业入住数据来源于公安旅业系统。</w:t>
            </w:r>
          </w:p>
          <w:p>
            <w:pPr>
              <w:keepNext w:val="0"/>
              <w:keepLines w:val="0"/>
              <w:pageBreakBefore w:val="0"/>
              <w:widowControl/>
              <w:kinsoku/>
              <w:wordWrap/>
              <w:overflowPunct/>
              <w:topLinePunct w:val="0"/>
              <w:autoSpaceDE/>
              <w:autoSpaceDN/>
              <w:bidi w:val="0"/>
              <w:adjustRightInd/>
              <w:snapToGrid/>
              <w:spacing w:after="0" w:line="240" w:lineRule="exact"/>
              <w:ind w:firstLine="440"/>
              <w:textAlignment w:val="auto"/>
              <w:rPr>
                <w:rFonts w:hint="eastAsia" w:ascii="仿宋_GB2312" w:hAnsi="DengXian" w:cs="宋体"/>
                <w:color w:val="000000"/>
                <w:kern w:val="0"/>
                <w:sz w:val="20"/>
                <w:szCs w:val="20"/>
              </w:rPr>
            </w:pPr>
          </w:p>
        </w:tc>
      </w:tr>
    </w:tbl>
    <w:p>
      <w:pPr>
        <w:spacing w:after="0" w:line="240" w:lineRule="auto"/>
        <w:ind w:left="0" w:leftChars="0" w:firstLine="0" w:firstLineChars="0"/>
      </w:pPr>
    </w:p>
    <w:sectPr>
      <w:pgSz w:w="16838" w:h="11906" w:orient="landscape"/>
      <w:pgMar w:top="964" w:right="2081" w:bottom="1134" w:left="1797" w:header="851" w:footer="992" w:gutter="0"/>
      <w:cols w:space="720" w:num="1"/>
      <w:docGrid w:type="lines" w:linePitch="44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DengXian">
    <w:altName w:val="华文仿宋"/>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5MDY0ZmJmZDNiNTQyNDRhMDFhMGVmNWUzYWUyOWIifQ=="/>
  </w:docVars>
  <w:rsids>
    <w:rsidRoot w:val="001769EB"/>
    <w:rsid w:val="001769EB"/>
    <w:rsid w:val="0032064A"/>
    <w:rsid w:val="00541D7B"/>
    <w:rsid w:val="00F91839"/>
    <w:rsid w:val="0CFA1B57"/>
    <w:rsid w:val="0F9C6EF5"/>
    <w:rsid w:val="1FA53BA4"/>
    <w:rsid w:val="226E7E51"/>
    <w:rsid w:val="23CF7743"/>
    <w:rsid w:val="3B6D536D"/>
    <w:rsid w:val="47863A0C"/>
    <w:rsid w:val="482E032B"/>
    <w:rsid w:val="4D4160B1"/>
    <w:rsid w:val="6BB9A324"/>
    <w:rsid w:val="71C64E13"/>
    <w:rsid w:val="78BC583C"/>
    <w:rsid w:val="7A637B0E"/>
    <w:rsid w:val="BBFFD165"/>
    <w:rsid w:val="BEFDF573"/>
    <w:rsid w:val="BFFB71C2"/>
    <w:rsid w:val="D54FB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560" w:lineRule="exact"/>
      <w:ind w:firstLine="200" w:firstLineChars="200"/>
    </w:pPr>
    <w:rPr>
      <w:rFonts w:ascii="Times New Roman" w:hAnsi="Times New Roman" w:eastAsia="仿宋_GB2312" w:cs="Times New Roman"/>
      <w:kern w:val="2"/>
      <w:sz w:val="32"/>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286</Words>
  <Characters>1636</Characters>
  <Lines>13</Lines>
  <Paragraphs>3</Paragraphs>
  <TotalTime>9</TotalTime>
  <ScaleCrop>false</ScaleCrop>
  <LinksUpToDate>false</LinksUpToDate>
  <CharactersWithSpaces>1919</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2023-10-09T08:58:00Z</dcterms:created>
  <dc:creator>Admin</dc:creator>
  <cp:lastModifiedBy>倪铭暄</cp:lastModifiedBy>
  <dcterms:modified xsi:type="dcterms:W3CDTF">2023-10-16T16:44:41Z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0D63E0DDD9444C48AB3B81CC79B2C9DB_13</vt:lpwstr>
  </property>
</Properties>
</file>