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02"/>
          <w:tab w:val="left" w:pos="11191"/>
        </w:tabs>
        <w:spacing w:line="240" w:lineRule="auto"/>
        <w:ind w:left="0" w:leftChars="0" w:firstLine="0" w:firstLineChars="0"/>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大鹏新区旅游统计月度指标表</w:t>
      </w:r>
    </w:p>
    <w:p>
      <w:pPr>
        <w:widowControl w:val="0"/>
        <w:spacing w:after="0" w:line="240" w:lineRule="auto"/>
        <w:ind w:firstLine="0" w:firstLineChars="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cs="仿宋_GB2312"/>
          <w:b/>
          <w:sz w:val="28"/>
          <w:szCs w:val="28"/>
          <w:lang w:val="en-US" w:eastAsia="zh-CN"/>
        </w:rPr>
        <w:t>2023</w:t>
      </w:r>
      <w:r>
        <w:rPr>
          <w:rFonts w:hint="eastAsia" w:ascii="仿宋_GB2312" w:hAnsi="仿宋_GB2312" w:eastAsia="仿宋_GB2312" w:cs="仿宋_GB2312"/>
          <w:b/>
          <w:sz w:val="28"/>
          <w:szCs w:val="28"/>
        </w:rPr>
        <w:t>年</w:t>
      </w:r>
      <w:r>
        <w:rPr>
          <w:rFonts w:hint="eastAsia" w:ascii="仿宋_GB2312" w:hAnsi="仿宋_GB2312" w:cs="仿宋_GB2312"/>
          <w:b/>
          <w:sz w:val="28"/>
          <w:szCs w:val="28"/>
          <w:lang w:val="en-US" w:eastAsia="zh-CN"/>
        </w:rPr>
        <w:t>7</w:t>
      </w:r>
      <w:r>
        <w:rPr>
          <w:rFonts w:hint="eastAsia" w:ascii="仿宋_GB2312" w:hAnsi="仿宋_GB2312" w:eastAsia="仿宋_GB2312" w:cs="仿宋_GB2312"/>
          <w:b/>
          <w:sz w:val="28"/>
          <w:szCs w:val="28"/>
        </w:rPr>
        <w:t>月份</w:t>
      </w:r>
      <w:r>
        <w:rPr>
          <w:rFonts w:hint="eastAsia" w:ascii="仿宋_GB2312" w:hAnsi="仿宋_GB2312" w:cs="仿宋_GB2312"/>
          <w:b/>
          <w:sz w:val="28"/>
          <w:szCs w:val="28"/>
          <w:lang w:eastAsia="zh-CN"/>
        </w:rPr>
        <w:t>数据</w:t>
      </w:r>
      <w:r>
        <w:rPr>
          <w:rFonts w:hint="eastAsia" w:ascii="仿宋_GB2312" w:hAnsi="仿宋_GB2312" w:eastAsia="仿宋_GB2312" w:cs="仿宋_GB2312"/>
          <w:b/>
          <w:sz w:val="28"/>
          <w:szCs w:val="28"/>
        </w:rPr>
        <w:t>】</w:t>
      </w:r>
    </w:p>
    <w:tbl>
      <w:tblPr>
        <w:tblStyle w:val="4"/>
        <w:tblW w:w="14639" w:type="dxa"/>
        <w:tblInd w:w="-476" w:type="dxa"/>
        <w:tblLayout w:type="fixed"/>
        <w:tblCellMar>
          <w:top w:w="0" w:type="dxa"/>
          <w:left w:w="108" w:type="dxa"/>
          <w:bottom w:w="0" w:type="dxa"/>
          <w:right w:w="108" w:type="dxa"/>
        </w:tblCellMar>
      </w:tblPr>
      <w:tblGrid>
        <w:gridCol w:w="1379"/>
        <w:gridCol w:w="256"/>
        <w:gridCol w:w="869"/>
        <w:gridCol w:w="691"/>
        <w:gridCol w:w="1215"/>
        <w:gridCol w:w="1664"/>
        <w:gridCol w:w="1664"/>
        <w:gridCol w:w="1664"/>
        <w:gridCol w:w="1664"/>
        <w:gridCol w:w="1664"/>
        <w:gridCol w:w="1669"/>
        <w:gridCol w:w="240"/>
      </w:tblGrid>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cs="仿宋_GB2312"/>
                <w:b/>
                <w:bCs/>
                <w:color w:val="000000"/>
                <w:kern w:val="0"/>
                <w:sz w:val="21"/>
                <w:szCs w:val="21"/>
                <w:lang w:val="en-US" w:eastAsia="zh-CN"/>
              </w:rPr>
              <w:t>2023</w:t>
            </w:r>
            <w:r>
              <w:rPr>
                <w:rFonts w:hint="eastAsia" w:ascii="仿宋_GB2312" w:hAnsi="仿宋_GB2312" w:eastAsia="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7</w:t>
            </w:r>
            <w:r>
              <w:rPr>
                <w:rFonts w:hint="eastAsia" w:ascii="仿宋_GB2312" w:hAnsi="仿宋_GB2312" w:eastAsia="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7</w:t>
            </w:r>
            <w:r>
              <w:rPr>
                <w:rFonts w:hint="eastAsia" w:ascii="仿宋_GB2312" w:hAnsi="仿宋_GB2312" w:eastAsia="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7</w:t>
            </w:r>
            <w:r>
              <w:rPr>
                <w:rFonts w:hint="eastAsia" w:ascii="仿宋_GB2312" w:hAnsi="仿宋_GB2312" w:eastAsia="仿宋_GB2312" w:cs="仿宋_GB2312"/>
                <w:b/>
                <w:bCs/>
                <w:color w:val="000000"/>
                <w:kern w:val="0"/>
                <w:sz w:val="21"/>
                <w:szCs w:val="21"/>
              </w:rPr>
              <w:t>月份同比（%）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累计同比（%）</w:t>
            </w:r>
          </w:p>
        </w:tc>
        <w:tc>
          <w:tcPr>
            <w:tcW w:w="240" w:type="dxa"/>
            <w:tcBorders>
              <w:top w:val="nil"/>
              <w:left w:val="nil"/>
              <w:bottom w:val="nil"/>
              <w:right w:val="nil"/>
            </w:tcBorders>
            <w:noWrap/>
            <w:vAlign w:val="bottom"/>
          </w:tcPr>
          <w:p>
            <w:pPr>
              <w:widowControl/>
              <w:spacing w:after="0" w:line="240" w:lineRule="auto"/>
              <w:ind w:firstLine="0" w:firstLineChars="0"/>
              <w:jc w:val="center"/>
              <w:rPr>
                <w:rFonts w:hint="eastAsia" w:ascii="宋体" w:hAnsi="宋体" w:eastAsia="宋体" w:cs="宋体"/>
                <w:b/>
                <w:bCs/>
                <w:color w:val="000000"/>
                <w:kern w:val="0"/>
                <w:sz w:val="21"/>
                <w:szCs w:val="21"/>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left"/>
              <w:textAlignment w:val="auto"/>
              <w:rPr>
                <w:rFonts w:hint="eastAsia" w:ascii="仿宋_GB2312" w:hAnsi="仿宋_GB2312" w:eastAsia="仿宋_GB2312" w:cs="仿宋_GB2312"/>
                <w:b/>
                <w:bCs/>
                <w:color w:val="000000"/>
                <w:kern w:val="0"/>
                <w:sz w:val="22"/>
              </w:rPr>
            </w:pPr>
            <w:r>
              <w:rPr>
                <w:rFonts w:hint="eastAsia" w:ascii="仿宋_GB2312" w:hAnsi="仿宋_GB2312" w:cs="仿宋_GB2312"/>
                <w:b/>
                <w:bCs/>
                <w:color w:val="000000"/>
                <w:kern w:val="0"/>
                <w:sz w:val="22"/>
                <w:lang w:val="en-US" w:eastAsia="zh-CN"/>
              </w:rPr>
              <w:t>1.</w:t>
            </w:r>
            <w:r>
              <w:rPr>
                <w:rFonts w:hint="eastAsia" w:ascii="仿宋_GB2312" w:hAnsi="仿宋_GB2312" w:eastAsia="仿宋_GB2312" w:cs="仿宋_GB2312"/>
                <w:b/>
                <w:bCs/>
                <w:color w:val="000000"/>
                <w:kern w:val="0"/>
                <w:sz w:val="22"/>
              </w:rPr>
              <w:t>接待总人数</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万人次</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168.28</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167.41</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0.52%</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938.77</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773.76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21.33%</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按国内外分：</w:t>
            </w:r>
          </w:p>
        </w:tc>
        <w:tc>
          <w:tcPr>
            <w:tcW w:w="181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国内游客</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161.54</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162.98</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-0.89%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913.47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749.66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21.85%</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p>
        </w:tc>
        <w:tc>
          <w:tcPr>
            <w:tcW w:w="181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入境游客</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6.74</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4.43</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52.26%</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25.30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24.10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5.01%</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90" w:hRule="atLeast"/>
        </w:trPr>
        <w:tc>
          <w:tcPr>
            <w:tcW w:w="1379"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w:t>
            </w:r>
            <w:r>
              <w:rPr>
                <w:rFonts w:hint="eastAsia" w:ascii="仿宋_GB2312" w:hAnsi="仿宋_GB2312" w:cs="仿宋_GB2312"/>
                <w:color w:val="000000"/>
                <w:kern w:val="0"/>
                <w:sz w:val="22"/>
                <w:lang w:eastAsia="zh-CN"/>
              </w:rPr>
              <w:t>市内、市外（省内外）</w:t>
            </w:r>
            <w:r>
              <w:rPr>
                <w:rFonts w:hint="eastAsia" w:ascii="仿宋_GB2312" w:hAnsi="仿宋_GB2312" w:eastAsia="仿宋_GB2312" w:cs="仿宋_GB2312"/>
                <w:color w:val="000000"/>
                <w:kern w:val="0"/>
                <w:sz w:val="22"/>
              </w:rPr>
              <w:t>分：</w:t>
            </w:r>
          </w:p>
        </w:tc>
        <w:tc>
          <w:tcPr>
            <w:tcW w:w="181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cs="仿宋_GB2312"/>
                <w:color w:val="000000"/>
                <w:kern w:val="0"/>
                <w:sz w:val="22"/>
                <w:lang w:eastAsia="zh-CN"/>
              </w:rPr>
              <w:t>市</w:t>
            </w:r>
            <w:r>
              <w:rPr>
                <w:rFonts w:hint="eastAsia" w:ascii="仿宋_GB2312" w:hAnsi="仿宋_GB2312" w:eastAsia="仿宋_GB2312" w:cs="仿宋_GB2312"/>
                <w:color w:val="000000"/>
                <w:kern w:val="0"/>
                <w:sz w:val="22"/>
              </w:rPr>
              <w:t>内游客</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68.14</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84.89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-19.73%</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402.03</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412.73</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-2.59%</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p>
        </w:tc>
        <w:tc>
          <w:tcPr>
            <w:tcW w:w="1125" w:type="dxa"/>
            <w:gridSpan w:val="2"/>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cs="仿宋_GB2312"/>
                <w:color w:val="000000"/>
                <w:kern w:val="0"/>
                <w:sz w:val="22"/>
                <w:lang w:eastAsia="zh-CN"/>
              </w:rPr>
              <w:t>市</w:t>
            </w:r>
            <w:r>
              <w:rPr>
                <w:rFonts w:hint="eastAsia" w:ascii="仿宋_GB2312" w:hAnsi="仿宋_GB2312" w:eastAsia="仿宋_GB2312" w:cs="仿宋_GB2312"/>
                <w:color w:val="000000"/>
                <w:kern w:val="0"/>
                <w:sz w:val="22"/>
              </w:rPr>
              <w:t>外游客</w:t>
            </w:r>
          </w:p>
        </w:tc>
        <w:tc>
          <w:tcPr>
            <w:tcW w:w="6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lang w:eastAsia="zh-CN"/>
              </w:rPr>
            </w:pPr>
            <w:r>
              <w:rPr>
                <w:rFonts w:hint="eastAsia" w:ascii="仿宋_GB2312" w:hAnsi="仿宋_GB2312" w:cs="仿宋_GB2312"/>
                <w:color w:val="000000"/>
                <w:kern w:val="0"/>
                <w:sz w:val="22"/>
                <w:lang w:eastAsia="zh-CN"/>
              </w:rPr>
              <w:t>省内</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40.33</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37.85</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6.55%</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230.88</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175.96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auto"/>
                <w:kern w:val="0"/>
                <w:sz w:val="22"/>
                <w:lang w:val="en-US" w:eastAsia="zh-CN"/>
              </w:rPr>
            </w:pPr>
            <w:r>
              <w:rPr>
                <w:rFonts w:hint="eastAsia" w:ascii="仿宋_GB2312" w:hAnsi="仿宋_GB2312" w:cs="仿宋_GB2312"/>
                <w:b/>
                <w:bCs/>
                <w:color w:val="auto"/>
                <w:kern w:val="0"/>
                <w:sz w:val="22"/>
                <w:lang w:val="en-US" w:eastAsia="zh-CN"/>
              </w:rPr>
              <w:t>31.21%</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p>
        </w:tc>
        <w:tc>
          <w:tcPr>
            <w:tcW w:w="1125" w:type="dxa"/>
            <w:gridSpan w:val="2"/>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p>
        </w:tc>
        <w:tc>
          <w:tcPr>
            <w:tcW w:w="6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cs="仿宋_GB2312"/>
                <w:color w:val="000000"/>
                <w:kern w:val="0"/>
                <w:sz w:val="22"/>
                <w:szCs w:val="22"/>
                <w:lang w:val="en-US" w:eastAsia="zh-CN" w:bidi="ar-SA"/>
              </w:rPr>
              <w:t>省外</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cs="仿宋_GB2312"/>
                <w:color w:val="000000"/>
                <w:kern w:val="0"/>
                <w:sz w:val="22"/>
                <w:szCs w:val="22"/>
                <w:lang w:val="en-US" w:eastAsia="zh-CN" w:bidi="ar-SA"/>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59.82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44.67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33.92%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305.87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cs="仿宋_GB2312"/>
                <w:b/>
                <w:bCs/>
                <w:color w:val="000000"/>
                <w:kern w:val="0"/>
                <w:sz w:val="22"/>
                <w:lang w:val="en-US" w:eastAsia="zh-CN"/>
              </w:rPr>
              <w:t>185.08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65.26%</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按是否过夜分：</w:t>
            </w:r>
          </w:p>
        </w:tc>
        <w:tc>
          <w:tcPr>
            <w:tcW w:w="181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过夜游客</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13.17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13.99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-5.89%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115.47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80.91</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42.71%</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p>
        </w:tc>
        <w:tc>
          <w:tcPr>
            <w:tcW w:w="1816"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一日游游客</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155.12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153.42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1.11%</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823.30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692.85</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18.83%</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left"/>
              <w:textAlignment w:val="auto"/>
              <w:rPr>
                <w:rFonts w:hint="eastAsia" w:ascii="仿宋_GB2312" w:hAnsi="仿宋_GB2312" w:eastAsia="仿宋_GB2312" w:cs="仿宋_GB2312"/>
                <w:b/>
                <w:bCs/>
                <w:color w:val="000000"/>
                <w:kern w:val="0"/>
                <w:sz w:val="22"/>
              </w:rPr>
            </w:pPr>
            <w:r>
              <w:rPr>
                <w:rFonts w:hint="eastAsia" w:ascii="仿宋_GB2312" w:hAnsi="仿宋_GB2312" w:cs="仿宋_GB2312"/>
                <w:b/>
                <w:bCs/>
                <w:color w:val="000000"/>
                <w:kern w:val="0"/>
                <w:sz w:val="22"/>
                <w:lang w:val="en-US" w:eastAsia="zh-CN"/>
              </w:rPr>
              <w:t>2.</w:t>
            </w:r>
            <w:r>
              <w:rPr>
                <w:rFonts w:hint="eastAsia" w:ascii="仿宋_GB2312" w:hAnsi="仿宋_GB2312" w:eastAsia="仿宋_GB2312" w:cs="仿宋_GB2312"/>
                <w:b/>
                <w:bCs/>
                <w:color w:val="000000"/>
                <w:kern w:val="0"/>
                <w:sz w:val="22"/>
              </w:rPr>
              <w:t>国内旅游业总收入</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亿 元</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10.06</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8.27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21.62%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47.96</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38.85</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23.45%</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cs="仿宋_GB2312"/>
                <w:color w:val="000000"/>
                <w:kern w:val="0"/>
                <w:sz w:val="22"/>
                <w:lang w:eastAsia="zh-CN"/>
              </w:rPr>
              <w:t>市</w:t>
            </w:r>
            <w:r>
              <w:rPr>
                <w:rFonts w:hint="eastAsia" w:ascii="仿宋_GB2312" w:hAnsi="仿宋_GB2312" w:eastAsia="仿宋_GB2312" w:cs="仿宋_GB2312"/>
                <w:color w:val="000000"/>
                <w:kern w:val="0"/>
                <w:sz w:val="22"/>
              </w:rPr>
              <w:t>内旅游收入</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亿 元</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3.05</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21.03%</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15.30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14.88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28.23%</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635"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cs="仿宋_GB2312"/>
                <w:color w:val="000000"/>
                <w:kern w:val="0"/>
                <w:sz w:val="22"/>
                <w:lang w:eastAsia="zh-CN"/>
              </w:rPr>
              <w:t>市</w:t>
            </w:r>
            <w:r>
              <w:rPr>
                <w:rFonts w:hint="eastAsia" w:ascii="仿宋_GB2312" w:hAnsi="仿宋_GB2312" w:eastAsia="仿宋_GB2312" w:cs="仿宋_GB2312"/>
                <w:color w:val="000000"/>
                <w:kern w:val="0"/>
                <w:sz w:val="22"/>
              </w:rPr>
              <w:t>外旅游收入</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color w:val="000000"/>
                <w:kern w:val="0"/>
                <w:sz w:val="22"/>
                <w:lang w:eastAsia="zh-CN"/>
              </w:rPr>
            </w:pPr>
            <w:r>
              <w:rPr>
                <w:rFonts w:hint="eastAsia" w:ascii="仿宋_GB2312" w:hAnsi="仿宋_GB2312" w:cs="仿宋_GB2312"/>
                <w:color w:val="000000"/>
                <w:kern w:val="0"/>
                <w:sz w:val="22"/>
                <w:lang w:eastAsia="zh-CN"/>
              </w:rPr>
              <w:t>省内</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亿 元</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2.65</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-8.62%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13.20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10.90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21.10%</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1635"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color w:val="000000"/>
                <w:kern w:val="0"/>
                <w:sz w:val="22"/>
                <w:lang w:eastAsia="zh-CN"/>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color w:val="000000"/>
                <w:kern w:val="0"/>
                <w:sz w:val="22"/>
                <w:lang w:eastAsia="zh-CN"/>
              </w:rPr>
            </w:pPr>
            <w:r>
              <w:rPr>
                <w:rFonts w:hint="eastAsia" w:ascii="仿宋_GB2312" w:hAnsi="仿宋_GB2312" w:cs="仿宋_GB2312"/>
                <w:color w:val="000000"/>
                <w:kern w:val="0"/>
                <w:sz w:val="22"/>
                <w:lang w:eastAsia="zh-CN"/>
              </w:rPr>
              <w:t>省外</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lang w:eastAsia="zh-CN"/>
              </w:rPr>
            </w:pPr>
            <w:r>
              <w:rPr>
                <w:rFonts w:hint="eastAsia" w:ascii="仿宋_GB2312" w:hAnsi="仿宋_GB2312" w:cs="仿宋_GB2312"/>
                <w:color w:val="000000"/>
                <w:kern w:val="0"/>
                <w:sz w:val="22"/>
                <w:lang w:eastAsia="zh-CN"/>
              </w:rPr>
              <w:t>亿</w:t>
            </w:r>
            <w:r>
              <w:rPr>
                <w:rFonts w:hint="eastAsia" w:ascii="仿宋_GB2312" w:hAnsi="仿宋_GB2312" w:cs="仿宋_GB2312"/>
                <w:color w:val="000000"/>
                <w:kern w:val="0"/>
                <w:sz w:val="22"/>
                <w:lang w:val="en-US" w:eastAsia="zh-CN"/>
              </w:rPr>
              <w:t xml:space="preserve"> </w:t>
            </w:r>
            <w:r>
              <w:rPr>
                <w:rFonts w:hint="eastAsia" w:ascii="仿宋_GB2312" w:hAnsi="仿宋_GB2312" w:cs="仿宋_GB2312"/>
                <w:color w:val="000000"/>
                <w:kern w:val="0"/>
                <w:sz w:val="22"/>
                <w:lang w:eastAsia="zh-CN"/>
              </w:rPr>
              <w:t>元</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4.36</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2.86</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52.45%</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19.49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rPr>
            </w:pPr>
            <w:r>
              <w:rPr>
                <w:rFonts w:hint="eastAsia" w:ascii="仿宋_GB2312" w:hAnsi="仿宋_GB2312" w:cs="仿宋_GB2312"/>
                <w:b/>
                <w:bCs/>
                <w:color w:val="000000"/>
                <w:kern w:val="0"/>
                <w:sz w:val="22"/>
                <w:lang w:val="en-US" w:eastAsia="zh-CN"/>
              </w:rPr>
              <w:t>11.58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68.31%</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90"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left"/>
              <w:textAlignment w:val="auto"/>
              <w:rPr>
                <w:rFonts w:hint="eastAsia" w:ascii="仿宋_GB2312" w:hAnsi="仿宋_GB2312" w:eastAsia="仿宋_GB2312" w:cs="仿宋_GB2312"/>
                <w:b/>
                <w:bCs/>
                <w:color w:val="000000"/>
                <w:kern w:val="0"/>
                <w:sz w:val="22"/>
                <w:lang w:eastAsia="zh-CN"/>
              </w:rPr>
            </w:pPr>
            <w:r>
              <w:rPr>
                <w:rFonts w:hint="eastAsia" w:ascii="仿宋_GB2312" w:hAnsi="仿宋_GB2312" w:cs="仿宋_GB2312"/>
                <w:b/>
                <w:bCs/>
                <w:color w:val="000000"/>
                <w:kern w:val="0"/>
                <w:sz w:val="22"/>
                <w:lang w:val="en-US" w:eastAsia="zh-CN"/>
              </w:rPr>
              <w:t>3.</w:t>
            </w:r>
            <w:r>
              <w:rPr>
                <w:rFonts w:hint="eastAsia" w:ascii="仿宋_GB2312" w:hAnsi="仿宋_GB2312" w:eastAsia="仿宋_GB2312" w:cs="仿宋_GB2312"/>
                <w:b/>
                <w:bCs/>
                <w:color w:val="000000"/>
                <w:kern w:val="0"/>
                <w:sz w:val="22"/>
                <w:lang w:eastAsia="zh-CN"/>
              </w:rPr>
              <w:t>热门旅游片区接待人数</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万人次</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156.30</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144.65</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szCs w:val="22"/>
                <w:lang w:val="en-US" w:eastAsia="zh-CN" w:bidi="ar-SA"/>
              </w:rPr>
              <w:t>8.05%</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808.59</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588.17</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37.48%</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大鹏所城</w:t>
            </w:r>
            <w:r>
              <w:rPr>
                <w:rFonts w:hint="eastAsia" w:ascii="仿宋_GB2312" w:hAnsi="仿宋_GB2312" w:eastAsia="仿宋_GB2312" w:cs="仿宋_GB2312"/>
                <w:color w:val="000000"/>
                <w:kern w:val="0"/>
                <w:sz w:val="22"/>
                <w:lang w:val="en-US" w:eastAsia="zh-CN"/>
              </w:rPr>
              <w:t>-较场尾片</w:t>
            </w:r>
            <w:r>
              <w:rPr>
                <w:rFonts w:hint="eastAsia" w:ascii="仿宋_GB2312" w:hAnsi="仿宋_GB2312" w:eastAsia="仿宋_GB2312" w:cs="仿宋_GB2312"/>
                <w:color w:val="000000"/>
                <w:kern w:val="0"/>
                <w:sz w:val="22"/>
              </w:rPr>
              <w:t>区</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52.92</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41.03</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28.98%</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261.02</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166.35</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56.91%</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玫瑰海岸片区</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36.03</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37.11</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-2.92%</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180.15</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150.05</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20.06%</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南澳墟镇片区</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19.20</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17.59</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9.13%</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108.07</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78.71</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37.30%</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cs="仿宋_GB2312"/>
                <w:b/>
                <w:bCs/>
                <w:color w:val="000000"/>
                <w:kern w:val="0"/>
                <w:sz w:val="21"/>
                <w:szCs w:val="21"/>
                <w:lang w:val="en-US" w:eastAsia="zh-CN"/>
              </w:rPr>
              <w:t>2023</w:t>
            </w:r>
            <w:r>
              <w:rPr>
                <w:rFonts w:hint="eastAsia" w:ascii="仿宋_GB2312" w:hAnsi="仿宋_GB2312" w:eastAsia="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7</w:t>
            </w:r>
            <w:r>
              <w:rPr>
                <w:rFonts w:hint="eastAsia" w:ascii="仿宋_GB2312" w:hAnsi="仿宋_GB2312" w:eastAsia="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7</w:t>
            </w:r>
            <w:r>
              <w:rPr>
                <w:rFonts w:hint="eastAsia" w:ascii="仿宋_GB2312" w:hAnsi="仿宋_GB2312" w:eastAsia="仿宋_GB2312" w:cs="仿宋_GB2312"/>
                <w:b/>
                <w:bCs/>
                <w:color w:val="000000"/>
                <w:kern w:val="0"/>
                <w:sz w:val="21"/>
                <w:szCs w:val="21"/>
              </w:rPr>
              <w:t>月份</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7</w:t>
            </w:r>
            <w:r>
              <w:rPr>
                <w:rFonts w:hint="eastAsia" w:ascii="仿宋_GB2312" w:hAnsi="仿宋_GB2312" w:eastAsia="仿宋_GB2312" w:cs="仿宋_GB2312"/>
                <w:b/>
                <w:bCs/>
                <w:color w:val="000000"/>
                <w:kern w:val="0"/>
                <w:sz w:val="21"/>
                <w:szCs w:val="21"/>
              </w:rPr>
              <w:t>月份同比（%）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累计同比（%）</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cs="仿宋_GB2312"/>
                <w:color w:val="000000"/>
                <w:kern w:val="0"/>
                <w:sz w:val="22"/>
                <w:szCs w:val="22"/>
                <w:lang w:val="en-US" w:eastAsia="zh-CN" w:bidi="ar-SA"/>
              </w:rPr>
              <w:t>官湖片区</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cs="仿宋_GB2312"/>
                <w:color w:val="000000"/>
                <w:kern w:val="0"/>
                <w:sz w:val="22"/>
                <w:szCs w:val="22"/>
                <w:lang w:val="en-US" w:eastAsia="zh-CN" w:bidi="ar-SA"/>
              </w:rPr>
              <w:t>万人次</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szCs w:val="22"/>
                <w:lang w:val="en-US" w:eastAsia="zh-CN" w:bidi="ar-SA"/>
              </w:rPr>
              <w:t>7.96</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szCs w:val="22"/>
                <w:lang w:val="en-US" w:eastAsia="zh-CN" w:bidi="ar-SA"/>
              </w:rPr>
              <w:t>6.73</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lang w:val="en-US" w:eastAsia="zh-CN"/>
              </w:rPr>
              <w:t>18.25%</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szCs w:val="22"/>
                <w:lang w:val="en-US" w:eastAsia="zh-CN" w:bidi="ar-SA"/>
              </w:rPr>
              <w:t>37.19</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szCs w:val="22"/>
                <w:lang w:val="en-US" w:eastAsia="zh-CN" w:bidi="ar-SA"/>
              </w:rPr>
              <w:t>30.6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szCs w:val="22"/>
                <w:lang w:val="en-US" w:eastAsia="zh-CN" w:bidi="ar-SA"/>
              </w:rPr>
              <w:t>21.53%</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lang w:eastAsia="zh-CN"/>
              </w:rPr>
            </w:pPr>
            <w:r>
              <w:rPr>
                <w:rFonts w:hint="eastAsia" w:ascii="仿宋_GB2312" w:hAnsi="仿宋_GB2312" w:cs="仿宋_GB2312"/>
                <w:color w:val="000000"/>
                <w:kern w:val="0"/>
                <w:sz w:val="22"/>
                <w:lang w:eastAsia="zh-CN"/>
              </w:rPr>
              <w:t>杨梅坑片区</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lang w:eastAsia="zh-CN"/>
              </w:rPr>
            </w:pPr>
            <w:r>
              <w:rPr>
                <w:rFonts w:hint="eastAsia" w:ascii="仿宋_GB2312" w:hAnsi="仿宋_GB2312" w:cs="仿宋_GB2312"/>
                <w:color w:val="000000"/>
                <w:kern w:val="0"/>
                <w:sz w:val="22"/>
                <w:lang w:eastAsia="zh-CN"/>
              </w:rPr>
              <w:t>万人次</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24.80</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18.94</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30.95%</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szCs w:val="22"/>
                <w:lang w:val="en-US" w:eastAsia="zh-CN" w:bidi="ar-SA"/>
              </w:rPr>
              <w:t>127.36</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66.79</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90.68%</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西涌片区</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13.73</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14.54</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-5.54%</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76.18</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62.88</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21.15%</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东涌片区</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7.80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6.64</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17.47%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41.64</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31.37</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32.73%</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金沙湾片区</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9.29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6.96</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33.43%</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41.11</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26.1</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58.50%</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坝光片区</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万人次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1.94</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4.88</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-60.30%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17.07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22.84</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-25.26%</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ind w:firstLine="0" w:firstLineChars="0"/>
              <w:jc w:val="left"/>
              <w:textAlignment w:val="center"/>
              <w:rPr>
                <w:rFonts w:hint="eastAsia" w:ascii="仿宋_GB2312" w:hAnsi="仿宋_GB2312" w:eastAsia="仿宋_GB2312" w:cs="仿宋_GB2312"/>
                <w:color w:val="000000"/>
                <w:kern w:val="0"/>
                <w:sz w:val="22"/>
              </w:rPr>
            </w:pPr>
            <w:r>
              <w:rPr>
                <w:rFonts w:hint="eastAsia" w:ascii="仿宋_GB2312" w:hAnsi="仿宋_GB2312" w:cs="仿宋_GB2312"/>
                <w:b/>
                <w:bCs/>
                <w:i w:val="0"/>
                <w:iCs w:val="0"/>
                <w:color w:val="000000"/>
                <w:kern w:val="0"/>
                <w:sz w:val="22"/>
                <w:szCs w:val="22"/>
                <w:u w:val="none"/>
                <w:lang w:val="en-US" w:eastAsia="zh-CN" w:bidi="ar"/>
              </w:rPr>
              <w:t>4.</w:t>
            </w:r>
            <w:r>
              <w:rPr>
                <w:rFonts w:hint="eastAsia" w:ascii="仿宋_GB2312" w:hAnsi="仿宋_GB2312" w:eastAsia="仿宋_GB2312" w:cs="仿宋_GB2312"/>
                <w:b/>
                <w:bCs/>
                <w:i w:val="0"/>
                <w:iCs w:val="0"/>
                <w:color w:val="000000"/>
                <w:kern w:val="0"/>
                <w:sz w:val="22"/>
                <w:szCs w:val="22"/>
                <w:u w:val="none"/>
                <w:lang w:val="en-US" w:eastAsia="zh-CN" w:bidi="ar"/>
              </w:rPr>
              <w:t>收费景区（景点）</w:t>
            </w:r>
            <w:r>
              <w:rPr>
                <w:rFonts w:hint="eastAsia" w:ascii="仿宋_GB2312" w:hAnsi="仿宋_GB2312" w:cs="仿宋_GB2312"/>
                <w:b/>
                <w:bCs/>
                <w:i w:val="0"/>
                <w:iCs w:val="0"/>
                <w:color w:val="000000"/>
                <w:kern w:val="0"/>
                <w:sz w:val="22"/>
                <w:szCs w:val="22"/>
                <w:u w:val="none"/>
                <w:lang w:val="en-US" w:eastAsia="zh-CN" w:bidi="ar"/>
              </w:rPr>
              <w:t>入园</w:t>
            </w:r>
            <w:r>
              <w:rPr>
                <w:rFonts w:hint="eastAsia" w:ascii="仿宋_GB2312" w:hAnsi="仿宋_GB2312" w:eastAsia="仿宋_GB2312" w:cs="仿宋_GB2312"/>
                <w:b/>
                <w:bCs/>
                <w:i w:val="0"/>
                <w:iCs w:val="0"/>
                <w:color w:val="000000"/>
                <w:kern w:val="0"/>
                <w:sz w:val="22"/>
                <w:szCs w:val="22"/>
                <w:u w:val="none"/>
                <w:lang w:val="en-US" w:eastAsia="zh-CN" w:bidi="ar"/>
              </w:rPr>
              <w:t>人数</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b/>
                <w:bCs/>
                <w:color w:val="000000"/>
                <w:kern w:val="0"/>
                <w:sz w:val="22"/>
              </w:rPr>
              <w:t>人</w:t>
            </w:r>
            <w:r>
              <w:rPr>
                <w:rFonts w:hint="eastAsia" w:ascii="仿宋_GB2312" w:hAnsi="仿宋_GB2312" w:cs="仿宋_GB2312"/>
                <w:b/>
                <w:bCs/>
                <w:color w:val="000000"/>
                <w:kern w:val="0"/>
                <w:sz w:val="22"/>
                <w:lang w:val="en-US" w:eastAsia="zh-CN"/>
              </w:rPr>
              <w:t xml:space="preserve"> </w:t>
            </w:r>
            <w:r>
              <w:rPr>
                <w:rFonts w:hint="eastAsia" w:ascii="仿宋_GB2312" w:hAnsi="仿宋_GB2312" w:cs="仿宋_GB2312"/>
                <w:b/>
                <w:bCs/>
                <w:color w:val="000000"/>
                <w:kern w:val="0"/>
                <w:sz w:val="22"/>
                <w:lang w:eastAsia="zh-CN"/>
              </w:rPr>
              <w:t>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267527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192320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39.11%</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724915</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552157</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31.29%</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bottom"/>
              <w:rPr>
                <w:rFonts w:hint="eastAsia" w:ascii="仿宋_GB2312" w:hAnsi="仿宋_GB2312" w:eastAsia="仿宋_GB2312" w:cs="仿宋_GB2312"/>
                <w:color w:val="000000"/>
                <w:kern w:val="0"/>
                <w:sz w:val="22"/>
              </w:rPr>
            </w:pPr>
            <w:r>
              <w:rPr>
                <w:rFonts w:hint="eastAsia" w:ascii="仿宋_GB2312" w:hAnsi="仿宋_GB2312" w:eastAsia="仿宋_GB2312" w:cs="仿宋_GB2312"/>
                <w:i w:val="0"/>
                <w:iCs w:val="0"/>
                <w:color w:val="000000"/>
                <w:kern w:val="0"/>
                <w:sz w:val="22"/>
                <w:szCs w:val="22"/>
                <w:u w:val="none"/>
                <w:lang w:val="en-US" w:eastAsia="zh-CN" w:bidi="ar"/>
              </w:rPr>
              <w:t>玫瑰海岸文化旅游度假区</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rPr>
              <w:t>人</w:t>
            </w:r>
            <w:r>
              <w:rPr>
                <w:rFonts w:hint="eastAsia" w:ascii="仿宋_GB2312" w:hAnsi="仿宋_GB2312" w:cs="仿宋_GB2312"/>
                <w:color w:val="000000"/>
                <w:kern w:val="0"/>
                <w:sz w:val="22"/>
                <w:lang w:val="en-US" w:eastAsia="zh-CN"/>
              </w:rPr>
              <w:t xml:space="preserve"> </w:t>
            </w:r>
            <w:r>
              <w:rPr>
                <w:rFonts w:hint="eastAsia" w:ascii="仿宋_GB2312" w:hAnsi="仿宋_GB2312" w:cs="仿宋_GB2312"/>
                <w:color w:val="000000"/>
                <w:kern w:val="0"/>
                <w:sz w:val="22"/>
                <w:lang w:eastAsia="zh-CN"/>
              </w:rPr>
              <w:t>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77927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65749</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18.50%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360015</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224437</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60.4%</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bottom"/>
              <w:rPr>
                <w:rFonts w:hint="eastAsia" w:ascii="仿宋_GB2312" w:hAnsi="仿宋_GB2312" w:eastAsia="仿宋_GB2312" w:cs="仿宋_GB2312"/>
                <w:color w:val="000000"/>
                <w:kern w:val="0"/>
                <w:sz w:val="22"/>
              </w:rPr>
            </w:pPr>
            <w:r>
              <w:rPr>
                <w:rFonts w:hint="eastAsia" w:ascii="仿宋_GB2312" w:hAnsi="仿宋_GB2312" w:eastAsia="仿宋_GB2312" w:cs="仿宋_GB2312"/>
                <w:i w:val="0"/>
                <w:iCs w:val="0"/>
                <w:color w:val="000000"/>
                <w:kern w:val="0"/>
                <w:sz w:val="22"/>
                <w:szCs w:val="22"/>
                <w:u w:val="none"/>
                <w:lang w:val="en-US" w:eastAsia="zh-CN" w:bidi="ar"/>
              </w:rPr>
              <w:t>中信金沙湾水世界</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w:t>
            </w:r>
            <w:r>
              <w:rPr>
                <w:rFonts w:hint="eastAsia" w:ascii="仿宋_GB2312" w:hAnsi="仿宋_GB2312" w:cs="仿宋_GB2312"/>
                <w:color w:val="000000"/>
                <w:kern w:val="0"/>
                <w:sz w:val="22"/>
                <w:lang w:val="en-US" w:eastAsia="zh-CN"/>
              </w:rPr>
              <w:t xml:space="preserve"> </w:t>
            </w:r>
            <w:r>
              <w:rPr>
                <w:rFonts w:hint="eastAsia" w:ascii="仿宋_GB2312" w:hAnsi="仿宋_GB2312" w:cs="仿宋_GB2312"/>
                <w:color w:val="000000"/>
                <w:kern w:val="0"/>
                <w:sz w:val="22"/>
                <w:lang w:eastAsia="zh-CN"/>
              </w:rPr>
              <w:t>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26200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16000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63.75%</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52900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29000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82.41%</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bottom"/>
              <w:rPr>
                <w:rFonts w:hint="eastAsia" w:ascii="仿宋_GB2312" w:hAnsi="仿宋_GB2312" w:eastAsia="仿宋_GB2312" w:cs="仿宋_GB2312"/>
                <w:color w:val="000000"/>
                <w:kern w:val="0"/>
                <w:sz w:val="22"/>
              </w:rPr>
            </w:pPr>
            <w:r>
              <w:rPr>
                <w:rFonts w:hint="eastAsia" w:ascii="仿宋_GB2312" w:hAnsi="仿宋_GB2312" w:eastAsia="仿宋_GB2312" w:cs="仿宋_GB2312"/>
                <w:i w:val="0"/>
                <w:iCs w:val="0"/>
                <w:color w:val="000000"/>
                <w:kern w:val="0"/>
                <w:sz w:val="22"/>
                <w:szCs w:val="22"/>
                <w:u w:val="none"/>
                <w:lang w:val="en-US" w:eastAsia="zh-CN" w:bidi="ar"/>
              </w:rPr>
              <w:t>西涌滨海旅游度假区</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w:t>
            </w:r>
            <w:r>
              <w:rPr>
                <w:rFonts w:hint="eastAsia" w:ascii="仿宋_GB2312" w:hAnsi="仿宋_GB2312" w:cs="仿宋_GB2312"/>
                <w:color w:val="000000"/>
                <w:kern w:val="0"/>
                <w:sz w:val="22"/>
                <w:lang w:val="en-US" w:eastAsia="zh-CN"/>
              </w:rPr>
              <w:t xml:space="preserve"> </w:t>
            </w:r>
            <w:r>
              <w:rPr>
                <w:rFonts w:hint="eastAsia" w:ascii="仿宋_GB2312" w:hAnsi="仿宋_GB2312" w:cs="仿宋_GB2312"/>
                <w:color w:val="000000"/>
                <w:kern w:val="0"/>
                <w:sz w:val="22"/>
                <w:lang w:eastAsia="zh-CN"/>
              </w:rPr>
              <w:t>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137900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88871</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55.17%</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312000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298720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4.45%</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bottom"/>
              <w:rPr>
                <w:rFonts w:hint="eastAsia" w:ascii="仿宋_GB2312" w:hAnsi="仿宋_GB2312" w:eastAsia="仿宋_GB2312" w:cs="仿宋_GB2312"/>
                <w:color w:val="000000"/>
                <w:kern w:val="0"/>
                <w:sz w:val="22"/>
              </w:rPr>
            </w:pPr>
            <w:r>
              <w:rPr>
                <w:rFonts w:hint="eastAsia" w:ascii="仿宋_GB2312" w:hAnsi="仿宋_GB2312" w:eastAsia="仿宋_GB2312" w:cs="仿宋_GB2312"/>
                <w:i w:val="0"/>
                <w:iCs w:val="0"/>
                <w:color w:val="000000"/>
                <w:kern w:val="0"/>
                <w:sz w:val="22"/>
                <w:szCs w:val="22"/>
                <w:u w:val="none"/>
                <w:lang w:val="en-US" w:eastAsia="zh-CN" w:bidi="ar"/>
              </w:rPr>
              <w:t>东涌滨海旅游度假区</w:t>
            </w: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w:t>
            </w:r>
            <w:r>
              <w:rPr>
                <w:rFonts w:hint="eastAsia" w:ascii="仿宋_GB2312" w:hAnsi="仿宋_GB2312" w:cs="仿宋_GB2312"/>
                <w:color w:val="000000"/>
                <w:kern w:val="0"/>
                <w:sz w:val="22"/>
                <w:lang w:val="en-US" w:eastAsia="zh-CN"/>
              </w:rPr>
              <w:t xml:space="preserve"> </w:t>
            </w:r>
            <w:r>
              <w:rPr>
                <w:rFonts w:hint="eastAsia" w:ascii="仿宋_GB2312" w:hAnsi="仿宋_GB2312" w:cs="仿宋_GB2312"/>
                <w:color w:val="000000"/>
                <w:kern w:val="0"/>
                <w:sz w:val="22"/>
                <w:lang w:eastAsia="zh-CN"/>
              </w:rPr>
              <w:t>次</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25500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21700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17.51%</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42900</w:t>
            </w:r>
          </w:p>
        </w:tc>
        <w:tc>
          <w:tcPr>
            <w:tcW w:w="16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60600</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w:t>
            </w:r>
          </w:p>
        </w:tc>
        <w:tc>
          <w:tcPr>
            <w:tcW w:w="240" w:type="dxa"/>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ind w:firstLine="0" w:firstLineChars="0"/>
              <w:jc w:val="left"/>
              <w:textAlignment w:val="center"/>
              <w:rPr>
                <w:rFonts w:hint="eastAsia" w:ascii="仿宋_GB2312" w:hAnsi="仿宋_GB2312" w:eastAsia="仿宋_GB2312" w:cs="仿宋_GB2312"/>
                <w:b/>
                <w:bCs/>
                <w:color w:val="000000"/>
                <w:kern w:val="0"/>
                <w:sz w:val="22"/>
              </w:rPr>
            </w:pPr>
            <w:r>
              <w:rPr>
                <w:rFonts w:hint="eastAsia" w:ascii="仿宋_GB2312" w:hAnsi="仿宋_GB2312" w:cs="仿宋_GB2312"/>
                <w:b/>
                <w:bCs/>
                <w:i w:val="0"/>
                <w:iCs w:val="0"/>
                <w:color w:val="000000"/>
                <w:sz w:val="22"/>
                <w:szCs w:val="22"/>
                <w:u w:val="none"/>
                <w:lang w:val="en-US" w:eastAsia="zh-CN"/>
              </w:rPr>
              <w:t>5.</w:t>
            </w:r>
            <w:r>
              <w:rPr>
                <w:rFonts w:hint="eastAsia" w:ascii="仿宋_GB2312" w:hAnsi="仿宋_GB2312" w:eastAsia="仿宋_GB2312" w:cs="仿宋_GB2312"/>
                <w:b/>
                <w:bCs/>
                <w:i w:val="0"/>
                <w:iCs w:val="0"/>
                <w:color w:val="000000"/>
                <w:sz w:val="22"/>
                <w:szCs w:val="22"/>
                <w:u w:val="none"/>
                <w:lang w:val="en-US" w:eastAsia="zh-CN"/>
              </w:rPr>
              <w:t>住宿业</w:t>
            </w:r>
            <w:r>
              <w:rPr>
                <w:rFonts w:hint="eastAsia" w:ascii="仿宋_GB2312" w:hAnsi="仿宋_GB2312" w:cs="仿宋_GB2312"/>
                <w:b/>
                <w:bCs/>
                <w:i w:val="0"/>
                <w:iCs w:val="0"/>
                <w:color w:val="000000"/>
                <w:sz w:val="22"/>
                <w:szCs w:val="22"/>
                <w:u w:val="none"/>
                <w:lang w:val="en-US" w:eastAsia="zh-CN"/>
              </w:rPr>
              <w:t>入住</w:t>
            </w:r>
            <w:r>
              <w:rPr>
                <w:rFonts w:hint="eastAsia" w:ascii="仿宋_GB2312" w:hAnsi="仿宋_GB2312" w:eastAsia="仿宋_GB2312" w:cs="仿宋_GB2312"/>
                <w:b/>
                <w:bCs/>
                <w:i w:val="0"/>
                <w:iCs w:val="0"/>
                <w:color w:val="000000"/>
                <w:sz w:val="22"/>
                <w:szCs w:val="22"/>
                <w:u w:val="none"/>
                <w:lang w:val="en-US" w:eastAsia="zh-CN"/>
              </w:rPr>
              <w:t>人数</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人</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280952</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181850</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54.50%</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9676659</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7933236</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21.98%</w:t>
            </w:r>
          </w:p>
        </w:tc>
        <w:tc>
          <w:tcPr>
            <w:tcW w:w="240" w:type="dxa"/>
            <w:tcBorders>
              <w:left w:val="single" w:color="auto" w:sz="4" w:space="0"/>
            </w:tcBorders>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ind w:firstLine="0" w:firstLine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民宿</w:t>
            </w:r>
            <w:r>
              <w:rPr>
                <w:rFonts w:hint="eastAsia" w:ascii="仿宋_GB2312" w:hAnsi="仿宋_GB2312" w:cs="仿宋_GB2312"/>
                <w:i w:val="0"/>
                <w:iCs w:val="0"/>
                <w:color w:val="000000"/>
                <w:kern w:val="0"/>
                <w:sz w:val="22"/>
                <w:szCs w:val="22"/>
                <w:u w:val="none"/>
                <w:lang w:val="en-US" w:eastAsia="zh-CN" w:bidi="ar"/>
              </w:rPr>
              <w:t>总入住人数</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136371</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100466</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35.74%</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5497710</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4692667</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17.16%</w:t>
            </w:r>
          </w:p>
        </w:tc>
        <w:tc>
          <w:tcPr>
            <w:tcW w:w="240" w:type="dxa"/>
            <w:tcBorders>
              <w:left w:val="single" w:color="auto" w:sz="4" w:space="0"/>
            </w:tcBorders>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0" w:lineRule="atLeast"/>
              <w:ind w:firstLine="0" w:firstLineChars="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酒店</w:t>
            </w:r>
            <w:r>
              <w:rPr>
                <w:rFonts w:hint="eastAsia" w:ascii="仿宋_GB2312" w:hAnsi="仿宋_GB2312" w:cs="仿宋_GB2312"/>
                <w:i w:val="0"/>
                <w:iCs w:val="0"/>
                <w:color w:val="000000"/>
                <w:kern w:val="0"/>
                <w:sz w:val="22"/>
                <w:szCs w:val="22"/>
                <w:u w:val="none"/>
                <w:lang w:val="en-US" w:eastAsia="zh-CN" w:bidi="ar"/>
              </w:rPr>
              <w:t>总入住</w:t>
            </w:r>
            <w:r>
              <w:rPr>
                <w:rFonts w:hint="eastAsia" w:ascii="仿宋_GB2312" w:hAnsi="仿宋_GB2312" w:eastAsia="仿宋_GB2312" w:cs="仿宋_GB2312"/>
                <w:i w:val="0"/>
                <w:iCs w:val="0"/>
                <w:color w:val="000000"/>
                <w:kern w:val="0"/>
                <w:sz w:val="22"/>
                <w:szCs w:val="22"/>
                <w:u w:val="none"/>
                <w:lang w:val="en-US" w:eastAsia="zh-CN" w:bidi="ar"/>
              </w:rPr>
              <w:t>人数</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144581</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81384</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77.65%</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4178949</w:t>
            </w:r>
          </w:p>
        </w:tc>
        <w:tc>
          <w:tcPr>
            <w:tcW w:w="16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3240569</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28.96%</w:t>
            </w:r>
          </w:p>
        </w:tc>
        <w:tc>
          <w:tcPr>
            <w:tcW w:w="240" w:type="dxa"/>
            <w:tcBorders>
              <w:left w:val="single" w:color="auto" w:sz="4" w:space="0"/>
            </w:tcBorders>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14399" w:type="dxa"/>
            <w:gridSpan w:val="11"/>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tabs>
                <w:tab w:val="left" w:pos="491"/>
              </w:tabs>
              <w:kinsoku/>
              <w:wordWrap/>
              <w:overflowPunct/>
              <w:topLinePunct w:val="0"/>
              <w:autoSpaceDE/>
              <w:autoSpaceDN/>
              <w:bidi w:val="0"/>
              <w:adjustRightInd/>
              <w:snapToGrid/>
              <w:spacing w:after="0" w:line="0" w:lineRule="atLeast"/>
              <w:ind w:firstLine="440" w:firstLineChars="200"/>
              <w:jc w:val="left"/>
              <w:textAlignment w:val="center"/>
              <w:rPr>
                <w:rFonts w:hint="eastAsia" w:ascii="仿宋_GB2312" w:hAnsi="仿宋_GB2312" w:eastAsia="仿宋_GB2312" w:cs="仿宋_GB2312"/>
                <w:b/>
                <w:bCs/>
                <w:color w:val="000000"/>
                <w:kern w:val="0"/>
                <w:sz w:val="22"/>
              </w:rPr>
            </w:pPr>
            <w:r>
              <w:rPr>
                <w:rFonts w:hint="eastAsia" w:ascii="仿宋_GB2312" w:hAnsi="仿宋_GB2312" w:cs="仿宋_GB2312"/>
                <w:color w:val="000000"/>
                <w:kern w:val="0"/>
                <w:sz w:val="22"/>
                <w:lang w:eastAsia="zh-CN"/>
              </w:rPr>
              <w:t>其中，</w:t>
            </w:r>
            <w:r>
              <w:rPr>
                <w:rFonts w:hint="eastAsia" w:ascii="仿宋_GB2312" w:hAnsi="仿宋_GB2312" w:eastAsia="仿宋_GB2312" w:cs="仿宋_GB2312"/>
                <w:i w:val="0"/>
                <w:iCs w:val="0"/>
                <w:color w:val="000000"/>
                <w:kern w:val="0"/>
                <w:sz w:val="22"/>
                <w:szCs w:val="22"/>
                <w:u w:val="none"/>
                <w:lang w:val="en-US" w:eastAsia="zh-CN" w:bidi="ar"/>
              </w:rPr>
              <w:t>万豪酒店</w:t>
            </w:r>
            <w:r>
              <w:rPr>
                <w:rFonts w:hint="eastAsia" w:ascii="仿宋_GB2312" w:hAnsi="仿宋_GB2312" w:cs="仿宋_GB2312"/>
                <w:i w:val="0"/>
                <w:iCs w:val="0"/>
                <w:color w:val="000000"/>
                <w:kern w:val="0"/>
                <w:sz w:val="22"/>
                <w:szCs w:val="22"/>
                <w:u w:val="none"/>
                <w:lang w:val="en-US" w:eastAsia="zh-CN" w:bidi="ar"/>
              </w:rPr>
              <w:t>入住人数为</w:t>
            </w:r>
            <w:r>
              <w:rPr>
                <w:rFonts w:hint="eastAsia" w:ascii="仿宋_GB2312" w:hAnsi="仿宋_GB2312" w:cs="仿宋_GB2312"/>
                <w:i w:val="0"/>
                <w:iCs w:val="0"/>
                <w:color w:val="000000"/>
                <w:kern w:val="0"/>
                <w:sz w:val="22"/>
                <w:szCs w:val="22"/>
                <w:u w:val="single"/>
                <w:lang w:val="en-US" w:eastAsia="zh-CN" w:bidi="ar"/>
              </w:rPr>
              <w:t xml:space="preserve"> 9217 </w:t>
            </w:r>
            <w:r>
              <w:rPr>
                <w:rFonts w:hint="eastAsia" w:ascii="仿宋_GB2312" w:hAnsi="仿宋_GB2312" w:cs="仿宋_GB2312"/>
                <w:i w:val="0"/>
                <w:iCs w:val="0"/>
                <w:color w:val="000000"/>
                <w:kern w:val="0"/>
                <w:sz w:val="22"/>
                <w:szCs w:val="22"/>
                <w:u w:val="none"/>
                <w:lang w:val="en-US" w:eastAsia="zh-CN" w:bidi="ar"/>
              </w:rPr>
              <w:t>，入住率为</w:t>
            </w:r>
            <w:r>
              <w:rPr>
                <w:rFonts w:hint="eastAsia" w:ascii="仿宋_GB2312" w:hAnsi="仿宋_GB2312" w:cs="仿宋_GB2312"/>
                <w:i w:val="0"/>
                <w:iCs w:val="0"/>
                <w:color w:val="000000"/>
                <w:kern w:val="0"/>
                <w:sz w:val="22"/>
                <w:szCs w:val="22"/>
                <w:u w:val="single"/>
                <w:lang w:val="en-US" w:eastAsia="zh-CN" w:bidi="ar"/>
              </w:rPr>
              <w:t xml:space="preserve">60.30% </w:t>
            </w:r>
            <w:r>
              <w:rPr>
                <w:rFonts w:hint="default" w:ascii="仿宋_GB2312" w:hAnsi="仿宋_GB2312" w:cs="仿宋_GB2312"/>
                <w:i w:val="0"/>
                <w:iCs w:val="0"/>
                <w:color w:val="000000"/>
                <w:kern w:val="0"/>
                <w:sz w:val="22"/>
                <w:szCs w:val="22"/>
                <w:u w:val="none"/>
                <w:lang w:eastAsia="zh-CN" w:bidi="ar"/>
              </w:rPr>
              <w:t>，同比去年</w:t>
            </w:r>
            <w:r>
              <w:rPr>
                <w:rFonts w:hint="eastAsia" w:ascii="仿宋_GB2312" w:hAnsi="仿宋_GB2312" w:cs="仿宋_GB2312"/>
                <w:i w:val="0"/>
                <w:iCs w:val="0"/>
                <w:color w:val="000000"/>
                <w:kern w:val="0"/>
                <w:sz w:val="22"/>
                <w:szCs w:val="22"/>
                <w:u w:val="none"/>
                <w:lang w:val="en-US" w:eastAsia="zh-CN" w:bidi="ar"/>
              </w:rPr>
              <w:t>降低</w:t>
            </w:r>
            <w:r>
              <w:rPr>
                <w:rFonts w:hint="default" w:ascii="仿宋_GB2312" w:hAnsi="仿宋_GB2312" w:cs="仿宋_GB2312"/>
                <w:i w:val="0"/>
                <w:iCs w:val="0"/>
                <w:color w:val="000000"/>
                <w:kern w:val="0"/>
                <w:sz w:val="22"/>
                <w:szCs w:val="22"/>
                <w:u w:val="single"/>
                <w:lang w:eastAsia="zh-CN" w:bidi="ar"/>
              </w:rPr>
              <w:t xml:space="preserve">  </w:t>
            </w:r>
            <w:r>
              <w:rPr>
                <w:rFonts w:hint="eastAsia" w:ascii="仿宋_GB2312" w:hAnsi="仿宋_GB2312" w:cs="仿宋_GB2312"/>
                <w:i w:val="0"/>
                <w:iCs w:val="0"/>
                <w:color w:val="000000"/>
                <w:kern w:val="0"/>
                <w:sz w:val="22"/>
                <w:szCs w:val="22"/>
                <w:u w:val="single"/>
                <w:lang w:val="en-US" w:eastAsia="zh-CN" w:bidi="ar"/>
              </w:rPr>
              <w:t>2.59%</w:t>
            </w:r>
            <w:r>
              <w:rPr>
                <w:rFonts w:hint="default" w:ascii="仿宋_GB2312" w:hAnsi="仿宋_GB2312" w:cs="仿宋_GB2312"/>
                <w:i w:val="0"/>
                <w:iCs w:val="0"/>
                <w:color w:val="000000"/>
                <w:kern w:val="0"/>
                <w:sz w:val="22"/>
                <w:szCs w:val="22"/>
                <w:u w:val="single"/>
                <w:lang w:eastAsia="zh-CN" w:bidi="ar"/>
              </w:rPr>
              <w:t xml:space="preserve">  </w:t>
            </w:r>
            <w:r>
              <w:rPr>
                <w:rFonts w:hint="eastAsia" w:ascii="仿宋_GB2312" w:hAnsi="仿宋_GB2312" w:cs="仿宋_GB2312"/>
                <w:i w:val="0"/>
                <w:iCs w:val="0"/>
                <w:color w:val="000000"/>
                <w:kern w:val="0"/>
                <w:sz w:val="22"/>
                <w:szCs w:val="22"/>
                <w:u w:val="none"/>
                <w:lang w:val="en-US" w:eastAsia="zh-CN" w:bidi="ar"/>
              </w:rPr>
              <w:t>；</w:t>
            </w:r>
            <w:r>
              <w:rPr>
                <w:rFonts w:hint="eastAsia" w:ascii="仿宋_GB2312" w:hAnsi="仿宋_GB2312" w:eastAsia="仿宋_GB2312" w:cs="仿宋_GB2312"/>
                <w:i w:val="0"/>
                <w:iCs w:val="0"/>
                <w:color w:val="000000"/>
                <w:kern w:val="0"/>
                <w:sz w:val="22"/>
                <w:szCs w:val="22"/>
                <w:u w:val="none"/>
                <w:lang w:val="en-US" w:eastAsia="zh-CN" w:bidi="ar"/>
              </w:rPr>
              <w:t>莱华酒店</w:t>
            </w:r>
            <w:r>
              <w:rPr>
                <w:rFonts w:hint="eastAsia" w:ascii="仿宋_GB2312" w:hAnsi="仿宋_GB2312" w:cs="仿宋_GB2312"/>
                <w:i w:val="0"/>
                <w:iCs w:val="0"/>
                <w:color w:val="000000"/>
                <w:kern w:val="0"/>
                <w:sz w:val="22"/>
                <w:szCs w:val="22"/>
                <w:u w:val="none"/>
                <w:lang w:val="en-US" w:eastAsia="zh-CN" w:bidi="ar"/>
              </w:rPr>
              <w:t>入住人数为</w:t>
            </w:r>
            <w:r>
              <w:rPr>
                <w:rFonts w:hint="eastAsia" w:ascii="仿宋_GB2312" w:hAnsi="仿宋_GB2312" w:cs="仿宋_GB2312"/>
                <w:i w:val="0"/>
                <w:iCs w:val="0"/>
                <w:color w:val="000000"/>
                <w:kern w:val="0"/>
                <w:sz w:val="22"/>
                <w:szCs w:val="22"/>
                <w:u w:val="single"/>
                <w:lang w:val="en-US" w:eastAsia="zh-CN" w:bidi="ar"/>
              </w:rPr>
              <w:t xml:space="preserve"> 10563 </w:t>
            </w:r>
            <w:r>
              <w:rPr>
                <w:rFonts w:hint="eastAsia" w:ascii="仿宋_GB2312" w:hAnsi="仿宋_GB2312" w:cs="仿宋_GB2312"/>
                <w:i w:val="0"/>
                <w:iCs w:val="0"/>
                <w:color w:val="000000"/>
                <w:kern w:val="0"/>
                <w:sz w:val="22"/>
                <w:szCs w:val="22"/>
                <w:u w:val="none"/>
                <w:lang w:val="en-US" w:eastAsia="zh-CN" w:bidi="ar"/>
              </w:rPr>
              <w:t>，入住率为</w:t>
            </w:r>
            <w:r>
              <w:rPr>
                <w:rFonts w:hint="eastAsia" w:ascii="仿宋_GB2312" w:hAnsi="仿宋_GB2312" w:cs="仿宋_GB2312"/>
                <w:i w:val="0"/>
                <w:iCs w:val="0"/>
                <w:color w:val="000000"/>
                <w:kern w:val="0"/>
                <w:sz w:val="22"/>
                <w:szCs w:val="22"/>
                <w:u w:val="single"/>
                <w:lang w:val="en-US" w:eastAsia="zh-CN" w:bidi="ar"/>
              </w:rPr>
              <w:t xml:space="preserve"> 89.66% </w:t>
            </w:r>
            <w:r>
              <w:rPr>
                <w:rFonts w:hint="default" w:ascii="仿宋_GB2312" w:hAnsi="仿宋_GB2312" w:cs="仿宋_GB2312"/>
                <w:i w:val="0"/>
                <w:iCs w:val="0"/>
                <w:color w:val="000000"/>
                <w:kern w:val="0"/>
                <w:sz w:val="22"/>
                <w:szCs w:val="22"/>
                <w:u w:val="none"/>
                <w:lang w:eastAsia="zh-CN" w:bidi="ar"/>
              </w:rPr>
              <w:t>，同比去年增长</w:t>
            </w:r>
            <w:r>
              <w:rPr>
                <w:rFonts w:hint="default" w:ascii="仿宋_GB2312" w:hAnsi="仿宋_GB2312" w:cs="仿宋_GB2312"/>
                <w:i w:val="0"/>
                <w:iCs w:val="0"/>
                <w:color w:val="000000"/>
                <w:kern w:val="0"/>
                <w:sz w:val="22"/>
                <w:szCs w:val="22"/>
                <w:u w:val="single"/>
                <w:lang w:eastAsia="zh-CN" w:bidi="ar"/>
              </w:rPr>
              <w:t xml:space="preserve"> </w:t>
            </w:r>
            <w:r>
              <w:rPr>
                <w:rFonts w:hint="eastAsia" w:ascii="仿宋_GB2312" w:hAnsi="仿宋_GB2312" w:cs="仿宋_GB2312"/>
                <w:i w:val="0"/>
                <w:iCs w:val="0"/>
                <w:color w:val="000000"/>
                <w:kern w:val="0"/>
                <w:sz w:val="22"/>
                <w:szCs w:val="22"/>
                <w:u w:val="single"/>
                <w:lang w:val="en-US" w:eastAsia="zh-CN" w:bidi="ar"/>
              </w:rPr>
              <w:t>41.65%</w:t>
            </w:r>
            <w:r>
              <w:rPr>
                <w:rFonts w:hint="eastAsia" w:ascii="仿宋_GB2312" w:hAnsi="仿宋_GB2312" w:cs="仿宋_GB2312"/>
                <w:i w:val="0"/>
                <w:iCs w:val="0"/>
                <w:color w:val="000000"/>
                <w:kern w:val="0"/>
                <w:sz w:val="22"/>
                <w:szCs w:val="22"/>
                <w:u w:val="none"/>
                <w:lang w:val="en-US" w:eastAsia="zh-CN" w:bidi="ar"/>
              </w:rPr>
              <w:t>；</w:t>
            </w:r>
            <w:r>
              <w:rPr>
                <w:rFonts w:hint="eastAsia" w:ascii="仿宋_GB2312" w:hAnsi="仿宋_GB2312" w:eastAsia="仿宋_GB2312" w:cs="仿宋_GB2312"/>
                <w:i w:val="0"/>
                <w:iCs w:val="0"/>
                <w:color w:val="000000"/>
                <w:kern w:val="0"/>
                <w:sz w:val="22"/>
                <w:szCs w:val="22"/>
                <w:u w:val="none"/>
                <w:lang w:val="en-US" w:eastAsia="zh-CN" w:bidi="ar"/>
              </w:rPr>
              <w:t>瞻云酒店</w:t>
            </w:r>
            <w:r>
              <w:rPr>
                <w:rFonts w:hint="eastAsia" w:ascii="仿宋_GB2312" w:hAnsi="仿宋_GB2312" w:cs="仿宋_GB2312"/>
                <w:i w:val="0"/>
                <w:iCs w:val="0"/>
                <w:color w:val="000000"/>
                <w:kern w:val="0"/>
                <w:sz w:val="22"/>
                <w:szCs w:val="22"/>
                <w:u w:val="none"/>
                <w:lang w:val="en-US" w:eastAsia="zh-CN" w:bidi="ar"/>
              </w:rPr>
              <w:t>入住人数为</w:t>
            </w:r>
            <w:r>
              <w:rPr>
                <w:rFonts w:hint="eastAsia" w:ascii="仿宋_GB2312" w:hAnsi="仿宋_GB2312" w:cs="仿宋_GB2312"/>
                <w:i w:val="0"/>
                <w:iCs w:val="0"/>
                <w:color w:val="000000"/>
                <w:kern w:val="0"/>
                <w:sz w:val="22"/>
                <w:szCs w:val="22"/>
                <w:u w:val="single"/>
                <w:lang w:val="en-US" w:eastAsia="zh-CN" w:bidi="ar"/>
              </w:rPr>
              <w:t xml:space="preserve"> 9522</w:t>
            </w:r>
            <w:r>
              <w:rPr>
                <w:rFonts w:hint="eastAsia" w:ascii="仿宋_GB2312" w:hAnsi="仿宋_GB2312" w:cs="仿宋_GB2312"/>
                <w:i w:val="0"/>
                <w:iCs w:val="0"/>
                <w:color w:val="000000"/>
                <w:kern w:val="0"/>
                <w:sz w:val="22"/>
                <w:szCs w:val="22"/>
                <w:u w:val="none"/>
                <w:lang w:val="en-US" w:eastAsia="zh-CN" w:bidi="ar"/>
              </w:rPr>
              <w:t>，入住率</w:t>
            </w:r>
            <w:r>
              <w:rPr>
                <w:rFonts w:hint="eastAsia" w:ascii="仿宋_GB2312" w:hAnsi="仿宋_GB2312" w:cs="仿宋_GB2312"/>
                <w:i w:val="0"/>
                <w:iCs w:val="0"/>
                <w:color w:val="000000"/>
                <w:kern w:val="0"/>
                <w:sz w:val="22"/>
                <w:szCs w:val="22"/>
                <w:u w:val="single"/>
                <w:lang w:val="en-US" w:eastAsia="zh-CN" w:bidi="ar"/>
              </w:rPr>
              <w:t xml:space="preserve"> 66.19% </w:t>
            </w:r>
            <w:r>
              <w:rPr>
                <w:rFonts w:hint="default" w:ascii="仿宋_GB2312" w:hAnsi="仿宋_GB2312" w:cs="仿宋_GB2312"/>
                <w:i w:val="0"/>
                <w:iCs w:val="0"/>
                <w:color w:val="000000"/>
                <w:kern w:val="0"/>
                <w:sz w:val="22"/>
                <w:szCs w:val="22"/>
                <w:u w:val="none"/>
                <w:lang w:eastAsia="zh-CN" w:bidi="ar"/>
              </w:rPr>
              <w:t>，同比去年增长</w:t>
            </w:r>
            <w:r>
              <w:rPr>
                <w:rFonts w:hint="default" w:ascii="仿宋_GB2312" w:hAnsi="仿宋_GB2312" w:cs="仿宋_GB2312"/>
                <w:i w:val="0"/>
                <w:iCs w:val="0"/>
                <w:color w:val="000000"/>
                <w:kern w:val="0"/>
                <w:sz w:val="22"/>
                <w:szCs w:val="22"/>
                <w:u w:val="single"/>
                <w:lang w:eastAsia="zh-CN" w:bidi="ar"/>
              </w:rPr>
              <w:t xml:space="preserve"> </w:t>
            </w:r>
            <w:r>
              <w:rPr>
                <w:rFonts w:hint="eastAsia" w:ascii="仿宋_GB2312" w:hAnsi="仿宋_GB2312" w:cs="仿宋_GB2312"/>
                <w:i w:val="0"/>
                <w:iCs w:val="0"/>
                <w:color w:val="000000"/>
                <w:kern w:val="0"/>
                <w:sz w:val="22"/>
                <w:szCs w:val="22"/>
                <w:u w:val="single"/>
                <w:lang w:val="en-US" w:eastAsia="zh-CN" w:bidi="ar"/>
              </w:rPr>
              <w:t>43.68%</w:t>
            </w:r>
            <w:r>
              <w:rPr>
                <w:rFonts w:hint="default" w:ascii="仿宋_GB2312" w:hAnsi="仿宋_GB2312" w:cs="仿宋_GB2312"/>
                <w:i w:val="0"/>
                <w:iCs w:val="0"/>
                <w:color w:val="000000"/>
                <w:kern w:val="0"/>
                <w:sz w:val="22"/>
                <w:szCs w:val="22"/>
                <w:u w:val="single"/>
                <w:lang w:eastAsia="zh-CN" w:bidi="ar"/>
              </w:rPr>
              <w:t xml:space="preserve"> </w:t>
            </w:r>
            <w:r>
              <w:rPr>
                <w:rFonts w:hint="eastAsia" w:ascii="仿宋_GB2312" w:hAnsi="仿宋_GB2312" w:cs="仿宋_GB2312"/>
                <w:i w:val="0"/>
                <w:iCs w:val="0"/>
                <w:color w:val="000000"/>
                <w:kern w:val="0"/>
                <w:sz w:val="22"/>
                <w:szCs w:val="22"/>
                <w:u w:val="none"/>
                <w:lang w:val="en-US" w:eastAsia="zh-CN" w:bidi="ar"/>
              </w:rPr>
              <w:t>。</w:t>
            </w:r>
          </w:p>
        </w:tc>
        <w:tc>
          <w:tcPr>
            <w:tcW w:w="240" w:type="dxa"/>
            <w:tcBorders>
              <w:left w:val="single" w:color="auto" w:sz="4" w:space="0"/>
            </w:tcBorders>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3" w:hRule="atLeast"/>
        </w:trPr>
        <w:tc>
          <w:tcPr>
            <w:tcW w:w="14399" w:type="dxa"/>
            <w:gridSpan w:val="11"/>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p>
        </w:tc>
        <w:tc>
          <w:tcPr>
            <w:tcW w:w="240" w:type="dxa"/>
            <w:tcBorders>
              <w:left w:val="single" w:color="auto" w:sz="4" w:space="0"/>
            </w:tcBorders>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08" w:hRule="atLeast"/>
        </w:trPr>
        <w:tc>
          <w:tcPr>
            <w:tcW w:w="14399" w:type="dxa"/>
            <w:gridSpan w:val="11"/>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eastAsia="仿宋_GB2312" w:cs="仿宋_GB2312"/>
                <w:b/>
                <w:bCs/>
                <w:color w:val="000000"/>
                <w:kern w:val="0"/>
                <w:sz w:val="22"/>
              </w:rPr>
            </w:pPr>
          </w:p>
        </w:tc>
        <w:tc>
          <w:tcPr>
            <w:tcW w:w="240" w:type="dxa"/>
            <w:tcBorders>
              <w:left w:val="single" w:color="auto" w:sz="4" w:space="0"/>
            </w:tcBorders>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97" w:hRule="atLeast"/>
        </w:trPr>
        <w:tc>
          <w:tcPr>
            <w:tcW w:w="14399"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left"/>
              <w:textAlignment w:val="auto"/>
              <w:rPr>
                <w:rFonts w:hint="eastAsia" w:ascii="仿宋_GB2312" w:hAnsi="仿宋_GB2312" w:cs="仿宋_GB2312"/>
                <w:b w:val="0"/>
                <w:bCs w:val="0"/>
                <w:color w:val="000000"/>
                <w:kern w:val="0"/>
                <w:sz w:val="16"/>
                <w:szCs w:val="16"/>
                <w:lang w:val="en-US" w:eastAsia="zh-CN"/>
              </w:rPr>
            </w:pPr>
            <w:r>
              <w:rPr>
                <w:rFonts w:hint="eastAsia" w:ascii="仿宋_GB2312" w:hAnsi="仿宋_GB2312" w:cs="仿宋_GB2312"/>
                <w:b/>
                <w:bCs/>
                <w:color w:val="000000"/>
                <w:kern w:val="0"/>
                <w:sz w:val="16"/>
                <w:szCs w:val="16"/>
                <w:lang w:eastAsia="zh-CN"/>
              </w:rPr>
              <w:t>备注：</w:t>
            </w:r>
            <w:r>
              <w:rPr>
                <w:rFonts w:hint="eastAsia" w:ascii="仿宋_GB2312" w:hAnsi="仿宋_GB2312" w:cs="仿宋_GB2312"/>
                <w:b w:val="0"/>
                <w:bCs w:val="0"/>
                <w:color w:val="000000"/>
                <w:kern w:val="0"/>
                <w:sz w:val="16"/>
                <w:szCs w:val="16"/>
                <w:lang w:val="en-US" w:eastAsia="zh-CN"/>
              </w:rPr>
              <w:t>1.全区旅游接待总人数和热门旅游片区接待人数由移动旅游大数据统计，按照剔除“过路用户”（停留时间小于或等于30分钟的移动用户）和“常驻用户”（月均出现在大鹏新区超过15天，且驻留时长每天超过8小时的移动用户），按自然日去重（一天内去一次或多次，都只统计一次，并计算统计周期内的游客人数总和），“扩样”（移动号码市场占有率73%）而来。2.旅游消费数据收入来源—银联。3.收费景区（景点）入园人数由企业直报。4.住宿业入住数据来源于公安旅业系统。</w:t>
            </w:r>
          </w:p>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left"/>
              <w:textAlignment w:val="auto"/>
              <w:rPr>
                <w:rFonts w:hint="eastAsia" w:ascii="仿宋_GB2312" w:hAnsi="仿宋_GB2312" w:cs="仿宋_GB2312"/>
                <w:b w:val="0"/>
                <w:bCs w:val="0"/>
                <w:color w:val="000000"/>
                <w:kern w:val="0"/>
                <w:sz w:val="16"/>
                <w:szCs w:val="16"/>
                <w:lang w:val="en-US" w:eastAsia="zh-CN"/>
              </w:rPr>
            </w:pPr>
          </w:p>
        </w:tc>
        <w:tc>
          <w:tcPr>
            <w:tcW w:w="240" w:type="dxa"/>
            <w:tcBorders>
              <w:left w:val="single" w:color="auto" w:sz="4" w:space="0"/>
            </w:tcBorders>
            <w:noWrap w:val="0"/>
            <w:vAlign w:val="center"/>
          </w:tcPr>
          <w:p>
            <w:pPr>
              <w:widowControl/>
              <w:spacing w:after="0" w:line="240" w:lineRule="auto"/>
              <w:ind w:firstLine="0" w:firstLineChars="0"/>
              <w:jc w:val="left"/>
              <w:rPr>
                <w:rFonts w:hint="eastAsia" w:ascii="宋体" w:hAnsi="宋体" w:eastAsia="宋体" w:cs="宋体"/>
                <w:kern w:val="0"/>
                <w:sz w:val="20"/>
                <w:szCs w:val="20"/>
              </w:rPr>
            </w:pPr>
          </w:p>
        </w:tc>
      </w:tr>
    </w:tbl>
    <w:p>
      <w:pPr>
        <w:keepNext w:val="0"/>
        <w:keepLines w:val="0"/>
        <w:pageBreakBefore w:val="0"/>
        <w:widowControl/>
        <w:kinsoku/>
        <w:wordWrap/>
        <w:overflowPunct/>
        <w:topLinePunct w:val="0"/>
        <w:autoSpaceDE/>
        <w:autoSpaceDN/>
        <w:bidi w:val="0"/>
        <w:adjustRightInd/>
        <w:snapToGrid/>
        <w:spacing w:line="20" w:lineRule="exact"/>
        <w:ind w:left="0" w:leftChars="0" w:firstLine="0" w:firstLineChars="0"/>
        <w:textAlignment w:val="auto"/>
      </w:pPr>
      <w:bookmarkStart w:id="0" w:name="_GoBack"/>
      <w:bookmarkEnd w:id="0"/>
    </w:p>
    <w:sectPr>
      <w:pgSz w:w="16838" w:h="11906" w:orient="landscape"/>
      <w:pgMar w:top="1077" w:right="2081" w:bottom="1134" w:left="1797" w:header="851" w:footer="992" w:gutter="0"/>
      <w:cols w:space="720" w:num="1"/>
      <w:rtlGutter w:val="0"/>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2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DY0ZmJmZDNiNTQyNDRhMDFhMGVmNWUzYWUyOWIifQ=="/>
  </w:docVars>
  <w:rsids>
    <w:rsidRoot w:val="7EDBFDAC"/>
    <w:rsid w:val="099DD723"/>
    <w:rsid w:val="09A75847"/>
    <w:rsid w:val="0AC38579"/>
    <w:rsid w:val="0BB1179A"/>
    <w:rsid w:val="1BB448B6"/>
    <w:rsid w:val="2572277A"/>
    <w:rsid w:val="270F224B"/>
    <w:rsid w:val="2E743646"/>
    <w:rsid w:val="2F2F5872"/>
    <w:rsid w:val="2F5EB840"/>
    <w:rsid w:val="30E76121"/>
    <w:rsid w:val="32E163E7"/>
    <w:rsid w:val="34E41A2D"/>
    <w:rsid w:val="3A255BB6"/>
    <w:rsid w:val="3B9E162B"/>
    <w:rsid w:val="49724D9B"/>
    <w:rsid w:val="49FDC343"/>
    <w:rsid w:val="4DD74FC1"/>
    <w:rsid w:val="4E9904C8"/>
    <w:rsid w:val="5F6F55C0"/>
    <w:rsid w:val="66BD083E"/>
    <w:rsid w:val="69796A0F"/>
    <w:rsid w:val="6BFBC666"/>
    <w:rsid w:val="6CFBB1AB"/>
    <w:rsid w:val="6DEF3F3C"/>
    <w:rsid w:val="6EBF0971"/>
    <w:rsid w:val="758E6DFD"/>
    <w:rsid w:val="76DEF19D"/>
    <w:rsid w:val="77EF9B95"/>
    <w:rsid w:val="7BF77F94"/>
    <w:rsid w:val="7E6325F6"/>
    <w:rsid w:val="7EDBFDAC"/>
    <w:rsid w:val="7EFB1380"/>
    <w:rsid w:val="7FD0349B"/>
    <w:rsid w:val="9F5E7CDC"/>
    <w:rsid w:val="9FBF8896"/>
    <w:rsid w:val="9FED2EAB"/>
    <w:rsid w:val="AFAB795A"/>
    <w:rsid w:val="BEFFA524"/>
    <w:rsid w:val="DBF82200"/>
    <w:rsid w:val="EBFA9DAC"/>
    <w:rsid w:val="EF75D938"/>
    <w:rsid w:val="F4FCECDF"/>
    <w:rsid w:val="FB67D8DC"/>
    <w:rsid w:val="FBBFAA1C"/>
    <w:rsid w:val="FF1F292A"/>
    <w:rsid w:val="FFCF33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560" w:lineRule="exact"/>
      <w:ind w:firstLine="200" w:firstLineChars="200"/>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tabs>
        <w:tab w:val="center" w:pos="4153"/>
        <w:tab w:val="right" w:pos="8306"/>
      </w:tabs>
      <w:snapToGrid w:val="0"/>
      <w:spacing w:after="160" w:line="560" w:lineRule="exact"/>
      <w:ind w:firstLine="200" w:firstLineChars="200"/>
    </w:pPr>
    <w:rPr>
      <w:rFonts w:ascii="Times New Roman" w:hAnsi="Times New Roman" w:eastAsia="仿宋_GB2312" w:cs="Times New Roman"/>
      <w:kern w:val="0"/>
      <w:sz w:val="18"/>
      <w:szCs w:val="18"/>
      <w:lang w:val="en-US" w:eastAsia="zh-CN" w:bidi="ar-SA"/>
    </w:rPr>
  </w:style>
  <w:style w:type="paragraph" w:styleId="3">
    <w:name w:val="header"/>
    <w:unhideWhenUsed/>
    <w:qFormat/>
    <w:uiPriority w:val="99"/>
    <w:pPr>
      <w:pBdr>
        <w:bottom w:val="single" w:color="auto" w:sz="6" w:space="1"/>
      </w:pBdr>
      <w:tabs>
        <w:tab w:val="center" w:pos="4153"/>
        <w:tab w:val="right" w:pos="8306"/>
      </w:tabs>
      <w:snapToGrid w:val="0"/>
      <w:spacing w:after="160" w:line="560" w:lineRule="exact"/>
      <w:ind w:firstLine="200" w:firstLineChars="200"/>
      <w:jc w:val="center"/>
    </w:pPr>
    <w:rPr>
      <w:rFonts w:ascii="Times New Roman" w:hAnsi="Times New Roman" w:eastAsia="仿宋_GB2312" w:cs="Times New Roman"/>
      <w:kern w:val="0"/>
      <w:sz w:val="18"/>
      <w:szCs w:val="18"/>
      <w:lang w:val="en-US" w:eastAsia="zh-CN" w:bidi="ar-SA"/>
    </w:r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pacing w:line="560" w:lineRule="exact"/>
      <w:ind w:firstLine="420"/>
      <w:jc w:val="left"/>
    </w:pPr>
    <w:rPr>
      <w:rFonts w:hint="eastAsia" w:ascii="仿宋_GB2312" w:hAnsi="仿宋_GB2312" w:eastAsia="仿宋_GB2312" w:cs="仿宋_GB2312"/>
      <w:color w:val="333333"/>
      <w:kern w:val="0"/>
      <w:sz w:val="32"/>
      <w:szCs w:val="32"/>
      <w:shd w:val="clear" w:color="auto" w:fill="FFFFFF"/>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876</Words>
  <Characters>1746</Characters>
  <Lines>0</Lines>
  <Paragraphs>0</Paragraphs>
  <TotalTime>87</TotalTime>
  <ScaleCrop>false</ScaleCrop>
  <LinksUpToDate>false</LinksUpToDate>
  <CharactersWithSpaces>1776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2023-07-20T17:07:00Z</dcterms:created>
  <dc:creator>林芸坪</dc:creator>
  <cp:lastModifiedBy>林芸坪</cp:lastModifiedBy>
  <cp:lastPrinted>2023-07-21T16:38:00Z</cp:lastPrinted>
  <dcterms:modified xsi:type="dcterms:W3CDTF">2023-08-04T14:56:41Z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C54940FEC5374A53B926972865EE9DB4_13</vt:lpwstr>
  </property>
</Properties>
</file>