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210" w:rightChars="-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《大鹏新区应急工程管理办法（征求意见稿）》起草说明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我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重新起草</w:t>
      </w:r>
      <w:r>
        <w:rPr>
          <w:rFonts w:hint="eastAsia" w:ascii="仿宋_GB2312" w:eastAsia="仿宋_GB2312"/>
          <w:color w:val="auto"/>
          <w:sz w:val="32"/>
          <w:szCs w:val="32"/>
        </w:rPr>
        <w:t>了《大鹏新区应急工程管理办法（征求意见稿）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》（以下简称《管理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一、起草背景和政策依据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（一）文件起草背景。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新区于201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发《大鹏新区应急工程管理办法》</w:t>
      </w:r>
      <w:r>
        <w:rPr>
          <w:rFonts w:hint="eastAsia" w:ascii="仿宋_GB2312" w:eastAsia="仿宋_GB2312"/>
          <w:color w:val="auto"/>
          <w:sz w:val="32"/>
          <w:szCs w:val="32"/>
        </w:rPr>
        <w:t>（深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鹏办规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以下简称原管理办法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原管理办法自公布之日起5个工作日后生效，有效期三年，已于2020年6月8日过期失效。同时，原管理办法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应急工程发包方式</w:t>
      </w:r>
      <w:r>
        <w:rPr>
          <w:rFonts w:hint="eastAsia" w:ascii="仿宋_GB2312" w:eastAsia="仿宋_GB2312"/>
          <w:color w:val="auto"/>
          <w:sz w:val="32"/>
          <w:szCs w:val="32"/>
        </w:rPr>
        <w:t>与现行规章制度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要求不符。为进一步规范大鹏新区应急工程认定、发包、建设、监督和管理工作，我局重新起草了</w:t>
      </w:r>
      <w:r>
        <w:rPr>
          <w:rFonts w:hint="eastAsia" w:ascii="仿宋_GB2312" w:eastAsia="仿宋_GB2312"/>
          <w:color w:val="auto"/>
          <w:sz w:val="32"/>
          <w:szCs w:val="32"/>
        </w:rPr>
        <w:t>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起草政策依据。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我局结合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必须招标的工程项目规定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》（中华人民共和国国家发展和改革委员会令第16号）、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大鹏新区政府投资工程管理办法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》（深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鹏办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规〔201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〕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、《深圳市大鹏新区小型建设工程资金管理暂行办法》（深鹏发财规〔2018〕4号）、《大鹏新区小型建设工程发包管理办法》（深鹏住建规〔2020〕1号）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等有关规定，重新起草了《</w:t>
      </w:r>
      <w:r>
        <w:rPr>
          <w:rFonts w:hint="eastAsia" w:ascii="仿宋_GB2312" w:eastAsia="仿宋_GB2312"/>
          <w:color w:val="auto"/>
          <w:sz w:val="32"/>
          <w:szCs w:val="32"/>
        </w:rPr>
        <w:t>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二、起草过程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2020年伊始，我局就着手重新起草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2020年5月25日，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形成了征求意见稿，并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向新区政法办公室、发展和财政局、教育和卫生健康局、科技创新和经济服务局、水务局、文化广电旅游体育局、应急管理局、城市管理和综合执法局、政务服务数据管理局、城市更新和土地整备局、规划土地监察局、机关事务管理中心、建筑工务署、坝光开发署、各办事处、市规划和自然资源局大鹏管理局、深圳市生态环境局大鹏管理局、市规划和自然资源局大鹏管理局、深圳市交通运输局大鹏管理局、市公安局大鹏分局、大鹏新区医疗健康集团、投资控股有限公司、大鹏供电局、人才安居有限公司、坝光开发建设运营管理有限公司共18</w:t>
      </w:r>
      <w:r>
        <w:rPr>
          <w:rFonts w:ascii="仿宋_GB2312" w:hAnsi="宋体" w:eastAsia="仿宋_GB2312"/>
          <w:color w:val="auto"/>
          <w:sz w:val="32"/>
          <w:szCs w:val="32"/>
        </w:rPr>
        <w:t>家单位征求意见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共收到11条修改意见，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现已结合各单位意见修改完善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共分八章二十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条，对新区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工程的认定、发包、实施、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经费支付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及监督等活动予以明确。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（一）规范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认定范围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为解决新区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工程范围模糊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难以界定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的问题，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《深圳市特殊工程认定和发包办法》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结合新区实际，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《管理办法》第二章对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认定范围和不得认定的情形进行了明确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认定范围按照《深圳市特殊工程认定和发包办法》第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条规定执行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不得认定的情形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包括：（1）已列入政府投资项目计划，按正常建设程序可以按时竣工的工程；（2）房地产开发建设项目；（3）已开工建设或已完工的建设工程；（4）因建设单位计划不周密、前期工作不主动、不落实等人为因素造成时间紧张、工期延误的工程；（5）PPP项目等其它不属于应急工程的建设工程。</w:t>
      </w:r>
    </w:p>
    <w:p>
      <w:pPr>
        <w:spacing w:line="560" w:lineRule="exact"/>
        <w:ind w:firstLine="640"/>
        <w:rPr>
          <w:rFonts w:hint="default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（二）简化应急工程认定程序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为简化认定程序，工程估算价在400万元以下的应急工程，由新区建设行政主管部门审核后直接出具认定意见，认定程序为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主管部门审核-主管部门认定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；工程估算价在400万元（含）以上且1000万元以下的，认定程序为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建设单位申请-主管部门审核-主管部门建议-新区分管领导审定或召开会议议定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；工程估算价在1000万元（含）以上的，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申请-主管部门建议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新区分管领导审核-新区常务会议定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）完善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发包制度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对发包制度进行完善。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《管理办法》第三章规定了单项合同估算价在400万元以下的施工发包及100万元以下的服务类发包，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发包；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单项合同估算价在400万元以上的施工发包及100万元以上的服务类发包，依法进行公开招标。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同时明确规定，如国家、省、市对必须公开招标限额另有规定的，按相关规定执行。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明确应急工程经费拨付等规定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了经费来源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资金支付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方式、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投资控制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以及资金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追偿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的规定。关于资金追偿，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十二条规定，因责任事故引发的应急工程，所需资金由财政性资金垫付的，建设单位应当依法向事故责任单位或者责任人追偿。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（五）加强应急工程过程管理</w:t>
      </w:r>
    </w:p>
    <w:p>
      <w:p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对应急工程的前期工作内容进行了分类说明，对开工手续进行了明确，对施工过程的质量安全管理、档案资料管理进行了强调，并对工程完工后的竣工验收、结决算、评价等工作总体时限进行了规定。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）强化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和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责任追究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章明确了新区发改、建设、审计等相关行政管理部门应当依职责加强应急工程监督管理，依法依规从严查处应急工程发包和建设中的违法违规行为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新区建设行政主管部门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无正当理由未能实施或拒绝实施应急工程的承包商进行处理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建设单位对承包商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履约行为进行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评价。对于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应急工程认定、发包或建设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过程中发现的滥用职权、徇私舞弊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弄虚作假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等涉嫌违法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违规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违纪行为，依法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追究责任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四、主要特点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定义清晰明确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的认定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根据《深圳市特殊工程认定和发包办法》，结合新区实际，明确了应急工程认定范围和不得认定的情形，使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清晰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容易界定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）建立高效稳定的认定机制。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在《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深圳市特殊工程认定和发包办法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定的基础上，结合新区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实际，将应急工程按照估算价分类设定认定程序，实现小工程直接认定、大工程新区相关会议议定，并将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申请表和认定表模板化，形成高效稳定的认定机制。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在主管部门审核环节，根据工程复杂性组织专家论证，提供专业技术认定建议，辅助主管部门或相关领导进行应急工程认定。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（三）建立公平简易的发包制度。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发包方式按工程单项合同估算价（金额）区分，限额以下的施工类或服务类项目按照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自行发包或随机抽签发包，限额以上的公开招标。实现了小项目发包公平简易，大项目发包公平公正。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E8AD0"/>
    <w:multiLevelType w:val="singleLevel"/>
    <w:tmpl w:val="82CE8A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1D4B2D28"/>
    <w:rsid w:val="26721612"/>
    <w:rsid w:val="26A17883"/>
    <w:rsid w:val="2E956525"/>
    <w:rsid w:val="356356DE"/>
    <w:rsid w:val="39323C99"/>
    <w:rsid w:val="3ABA25DE"/>
    <w:rsid w:val="461C143D"/>
    <w:rsid w:val="48C25942"/>
    <w:rsid w:val="49CC5013"/>
    <w:rsid w:val="4FC603DF"/>
    <w:rsid w:val="555C513B"/>
    <w:rsid w:val="5AC6207C"/>
    <w:rsid w:val="5E5501BD"/>
    <w:rsid w:val="637F01F2"/>
    <w:rsid w:val="6E0B44B8"/>
    <w:rsid w:val="6FD629BB"/>
    <w:rsid w:val="71076A2A"/>
    <w:rsid w:val="72EA5EC2"/>
    <w:rsid w:val="75F56DAB"/>
    <w:rsid w:val="7A6E556A"/>
    <w:rsid w:val="7DA565A4"/>
    <w:rsid w:val="7DC55016"/>
    <w:rsid w:val="BCFA4298"/>
    <w:rsid w:val="BFEF5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13</TotalTime>
  <ScaleCrop>false</ScaleCrop>
  <LinksUpToDate>false</LinksUpToDate>
  <CharactersWithSpaces>602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2018-03-22T11:05:00Z</dcterms:created>
  <dc:creator>三只</dc:creator>
  <cp:lastModifiedBy>王京</cp:lastModifiedBy>
  <cp:lastPrinted>2020-07-16T18:05:00Z</cp:lastPrinted>
  <dcterms:modified xsi:type="dcterms:W3CDTF">2022-09-20T09:09:57Z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