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baseline"/>
        <w:rPr>
          <w:rStyle w:val="9"/>
          <w:rFonts w:hint="eastAsia" w:ascii="黑体" w:hAnsi="黑体" w:eastAsia="黑体" w:cs="黑体"/>
          <w:color w:val="000000"/>
          <w:sz w:val="32"/>
          <w:szCs w:val="32"/>
          <w:lang w:val="en-US" w:eastAsia="zh-CN"/>
        </w:rPr>
      </w:pPr>
      <w:r>
        <w:rPr>
          <w:rStyle w:val="9"/>
          <w:rFonts w:hint="eastAsia" w:ascii="黑体" w:hAnsi="黑体" w:eastAsia="黑体" w:cs="黑体"/>
          <w:color w:val="000000"/>
          <w:sz w:val="32"/>
          <w:szCs w:val="32"/>
          <w:lang w:val="en-US" w:eastAsia="zh-CN"/>
        </w:rPr>
        <w:t>附件</w:t>
      </w:r>
    </w:p>
    <w:p>
      <w:pPr>
        <w:spacing w:line="560" w:lineRule="exact"/>
        <w:jc w:val="center"/>
        <w:textAlignment w:val="baseline"/>
        <w:rPr>
          <w:rStyle w:val="9"/>
          <w:rFonts w:ascii="方正小标宋简体" w:hAnsi="方正小标宋简体" w:eastAsia="方正小标宋简体"/>
          <w:color w:val="000000"/>
          <w:sz w:val="44"/>
          <w:szCs w:val="44"/>
        </w:rPr>
      </w:pPr>
      <w:r>
        <w:rPr>
          <w:rStyle w:val="9"/>
          <w:rFonts w:ascii="方正小标宋简体" w:hAnsi="方正小标宋简体" w:eastAsia="方正小标宋简体"/>
          <w:color w:val="000000"/>
          <w:sz w:val="44"/>
          <w:szCs w:val="44"/>
        </w:rPr>
        <w:t>隐患问题一览表</w:t>
      </w:r>
    </w:p>
    <w:tbl>
      <w:tblPr>
        <w:tblStyle w:val="6"/>
        <w:tblpPr w:leftFromText="180" w:rightFromText="180" w:vertAnchor="text" w:horzAnchor="page" w:tblpXSpec="center" w:tblpY="501"/>
        <w:tblOverlap w:val="never"/>
        <w:tblW w:w="134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850"/>
        <w:gridCol w:w="1098"/>
        <w:gridCol w:w="2041"/>
        <w:gridCol w:w="1125"/>
        <w:gridCol w:w="1065"/>
        <w:gridCol w:w="1065"/>
        <w:gridCol w:w="1251"/>
        <w:gridCol w:w="1554"/>
        <w:gridCol w:w="1026"/>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序号</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隐患地址</w:t>
            </w:r>
          </w:p>
        </w:tc>
        <w:tc>
          <w:tcPr>
            <w:tcW w:w="109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隐患描述</w:t>
            </w:r>
          </w:p>
        </w:tc>
        <w:tc>
          <w:tcPr>
            <w:tcW w:w="204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隐患照片</w:t>
            </w:r>
          </w:p>
        </w:tc>
        <w:tc>
          <w:tcPr>
            <w:tcW w:w="325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整改责任单位</w:t>
            </w:r>
          </w:p>
        </w:tc>
        <w:tc>
          <w:tcPr>
            <w:tcW w:w="1251" w:type="dxa"/>
            <w:vMerge w:val="restart"/>
            <w:tcBorders>
              <w:top w:val="single" w:color="000000" w:sz="4" w:space="0"/>
              <w:left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整改建议</w:t>
            </w:r>
          </w:p>
        </w:tc>
        <w:tc>
          <w:tcPr>
            <w:tcW w:w="1554" w:type="dxa"/>
            <w:vMerge w:val="restart"/>
            <w:tcBorders>
              <w:top w:val="single" w:color="000000" w:sz="4" w:space="0"/>
              <w:left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hint="eastAsia" w:ascii="黑体" w:hAnsi="黑体" w:eastAsia="黑体"/>
                <w:sz w:val="32"/>
                <w:szCs w:val="32"/>
              </w:rPr>
              <w:t>法规依据</w:t>
            </w:r>
          </w:p>
        </w:tc>
        <w:tc>
          <w:tcPr>
            <w:tcW w:w="1026" w:type="dxa"/>
            <w:vMerge w:val="restart"/>
            <w:tcBorders>
              <w:top w:val="single" w:color="000000" w:sz="4" w:space="0"/>
              <w:left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整改情况</w:t>
            </w:r>
          </w:p>
        </w:tc>
        <w:tc>
          <w:tcPr>
            <w:tcW w:w="1740" w:type="dxa"/>
            <w:vMerge w:val="restart"/>
            <w:tcBorders>
              <w:top w:val="single" w:color="000000" w:sz="4" w:space="0"/>
              <w:left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整改后照片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c>
          <w:tcPr>
            <w:tcW w:w="10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c>
          <w:tcPr>
            <w:tcW w:w="204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ascii="黑体" w:hAnsi="黑体" w:eastAsia="黑体"/>
                <w:sz w:val="32"/>
                <w:szCs w:val="32"/>
              </w:rPr>
              <w:t>行业主管部门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r>
              <w:rPr>
                <w:rStyle w:val="9"/>
                <w:rFonts w:hint="eastAsia" w:ascii="黑体" w:hAnsi="黑体" w:eastAsia="黑体"/>
                <w:sz w:val="32"/>
                <w:szCs w:val="32"/>
              </w:rPr>
              <w:t>专项监管部门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hint="eastAsia" w:ascii="黑体" w:hAnsi="黑体" w:eastAsia="黑体"/>
                <w:sz w:val="32"/>
                <w:szCs w:val="32"/>
              </w:rPr>
            </w:pPr>
            <w:r>
              <w:rPr>
                <w:rStyle w:val="9"/>
                <w:rFonts w:hint="eastAsia" w:ascii="黑体" w:hAnsi="黑体" w:eastAsia="黑体"/>
                <w:sz w:val="32"/>
                <w:szCs w:val="32"/>
              </w:rPr>
              <w:t>属地</w:t>
            </w:r>
          </w:p>
        </w:tc>
        <w:tc>
          <w:tcPr>
            <w:tcW w:w="1251" w:type="dxa"/>
            <w:vMerge w:val="continue"/>
            <w:tcBorders>
              <w:left w:val="single" w:color="000000" w:sz="4" w:space="0"/>
              <w:bottom w:val="single" w:color="000000" w:sz="4" w:space="0"/>
              <w:right w:val="single" w:color="000000" w:sz="4" w:space="0"/>
            </w:tcBorders>
            <w:noWrap w:val="0"/>
            <w:vAlign w:val="center"/>
          </w:tcPr>
          <w:p>
            <w:pPr>
              <w:spacing w:line="560" w:lineRule="exact"/>
              <w:textAlignment w:val="baseline"/>
              <w:rPr>
                <w:rStyle w:val="9"/>
                <w:rFonts w:ascii="黑体" w:hAnsi="黑体" w:eastAsia="黑体"/>
                <w:sz w:val="32"/>
                <w:szCs w:val="32"/>
              </w:rPr>
            </w:pPr>
          </w:p>
        </w:tc>
        <w:tc>
          <w:tcPr>
            <w:tcW w:w="1554" w:type="dxa"/>
            <w:vMerge w:val="continue"/>
            <w:tcBorders>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c>
          <w:tcPr>
            <w:tcW w:w="1026" w:type="dxa"/>
            <w:vMerge w:val="continue"/>
            <w:tcBorders>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c>
          <w:tcPr>
            <w:tcW w:w="1740" w:type="dxa"/>
            <w:vMerge w:val="continue"/>
            <w:tcBorders>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75"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560" w:lineRule="exact"/>
              <w:ind w:firstLine="0" w:firstLineChars="0"/>
              <w:jc w:val="center"/>
              <w:textAlignment w:val="center"/>
              <w:rPr>
                <w:rStyle w:val="9"/>
                <w:rFonts w:hint="eastAsia" w:ascii="仿宋_GB2312" w:hAnsi="仿宋_GB2312" w:eastAsia="仿宋_GB2312"/>
                <w:color w:val="000000"/>
                <w:szCs w:val="21"/>
              </w:rPr>
            </w:pPr>
            <w:r>
              <w:rPr>
                <w:rStyle w:val="9"/>
                <w:rFonts w:hint="eastAsia" w:ascii="仿宋_GB2312" w:hAnsi="仿宋_GB2312" w:eastAsia="仿宋_GB2312"/>
                <w:color w:val="000000"/>
                <w:szCs w:val="21"/>
              </w:rPr>
              <w:t>1</w:t>
            </w:r>
          </w:p>
        </w:tc>
        <w:tc>
          <w:tcPr>
            <w:tcW w:w="850" w:type="dxa"/>
            <w:tcBorders>
              <w:top w:val="single" w:color="000000" w:sz="4" w:space="0"/>
              <w:left w:val="single" w:color="000000" w:sz="4" w:space="0"/>
              <w:right w:val="single" w:color="000000" w:sz="4" w:space="0"/>
            </w:tcBorders>
            <w:noWrap w:val="0"/>
            <w:vAlign w:val="center"/>
          </w:tcPr>
          <w:p>
            <w:pPr>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深圳市飙飙运动文化有限公司（大鹏）</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卡丁车场未设置医务室</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color w:val="000000"/>
                <w:sz w:val="20"/>
              </w:rPr>
            </w:pPr>
            <w:r>
              <w:rPr>
                <w:rFonts w:hint="eastAsia"/>
                <w:color w:val="000000"/>
                <w:sz w:val="20"/>
              </w:rPr>
              <w:drawing>
                <wp:inline distT="0" distB="0" distL="114300" distR="114300">
                  <wp:extent cx="1289050" cy="967105"/>
                  <wp:effectExtent l="0" t="0" r="6350" b="4445"/>
                  <wp:docPr id="1" name="图片 1" descr="微信图片_2021042819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28191500"/>
                          <pic:cNvPicPr>
                            <a:picLocks noChangeAspect="1"/>
                          </pic:cNvPicPr>
                        </pic:nvPicPr>
                        <pic:blipFill>
                          <a:blip r:embed="rId6"/>
                          <a:stretch>
                            <a:fillRect/>
                          </a:stretch>
                        </pic:blipFill>
                        <pic:spPr>
                          <a:xfrm>
                            <a:off x="0" y="0"/>
                            <a:ext cx="1289050" cy="967105"/>
                          </a:xfrm>
                          <a:prstGeom prst="rect">
                            <a:avLst/>
                          </a:prstGeom>
                          <a:noFill/>
                          <a:ln>
                            <a:noFill/>
                          </a:ln>
                        </pic:spPr>
                      </pic:pic>
                    </a:graphicData>
                  </a:graphic>
                </wp:inline>
              </w:drawing>
            </w:r>
          </w:p>
          <w:p>
            <w:pPr>
              <w:textAlignment w:val="center"/>
              <w:rPr>
                <w:rFonts w:hint="eastAsia"/>
                <w:color w:val="000000"/>
                <w:sz w:val="20"/>
              </w:rPr>
            </w:pPr>
            <w:r>
              <w:rPr>
                <w:rFonts w:hint="eastAsia"/>
                <w:color w:val="000000"/>
                <w:sz w:val="20"/>
              </w:rPr>
              <w:drawing>
                <wp:inline distT="0" distB="0" distL="114300" distR="114300">
                  <wp:extent cx="1285875" cy="1150620"/>
                  <wp:effectExtent l="0" t="0" r="9525" b="11430"/>
                  <wp:docPr id="2" name="图片 2" descr="微信图片_20210428191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4281915001"/>
                          <pic:cNvPicPr>
                            <a:picLocks noChangeAspect="1"/>
                          </pic:cNvPicPr>
                        </pic:nvPicPr>
                        <pic:blipFill>
                          <a:blip r:embed="rId7"/>
                          <a:stretch>
                            <a:fillRect/>
                          </a:stretch>
                        </pic:blipFill>
                        <pic:spPr>
                          <a:xfrm>
                            <a:off x="0" y="0"/>
                            <a:ext cx="1285875" cy="1150620"/>
                          </a:xfrm>
                          <a:prstGeom prst="rect">
                            <a:avLst/>
                          </a:prstGeom>
                          <a:noFill/>
                          <a:ln>
                            <a:noFill/>
                          </a:ln>
                        </pic:spPr>
                      </pic:pic>
                    </a:graphicData>
                  </a:graphic>
                </wp:inline>
              </w:drawing>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新区文化广电旅游体育局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Cs w:val="21"/>
              </w:rPr>
              <w:t>卡丁车场应设置医务室</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outlineLvl w:val="9"/>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《卡丁车场建设规范》（GB19197-2003)5.6.2</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Style w:val="9"/>
                <w:rFonts w:ascii="仿宋_GB2312" w:hAnsi="仿宋_GB2312" w:eastAsia="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仿宋_GB2312" w:hAnsi="仿宋_GB2312"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7"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560" w:lineRule="exact"/>
              <w:ind w:firstLine="0" w:firstLineChars="0"/>
              <w:jc w:val="center"/>
              <w:textAlignment w:val="center"/>
              <w:rPr>
                <w:rStyle w:val="9"/>
                <w:rFonts w:ascii="仿宋_GB2312" w:hAnsi="仿宋_GB2312" w:eastAsia="仿宋_GB2312"/>
                <w:color w:val="000000"/>
                <w:szCs w:val="21"/>
              </w:rPr>
            </w:pPr>
            <w:r>
              <w:rPr>
                <w:rStyle w:val="9"/>
                <w:rFonts w:hint="eastAsia" w:ascii="仿宋_GB2312" w:hAnsi="仿宋_GB2312" w:eastAsia="仿宋_GB2312"/>
                <w:color w:val="000000"/>
                <w:szCs w:val="21"/>
              </w:rPr>
              <w:t>2</w:t>
            </w:r>
          </w:p>
        </w:tc>
        <w:tc>
          <w:tcPr>
            <w:tcW w:w="85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深圳市飙飙运动文化有限公司（大鹏）</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仿宋_GB2312" w:cs="仿宋_GB2312"/>
                <w:color w:val="000000"/>
                <w:szCs w:val="21"/>
              </w:rPr>
            </w:pPr>
            <w:r>
              <w:rPr>
                <w:rFonts w:hint="eastAsia" w:ascii="仿宋_GB2312" w:hAnsi="仿宋_GB2312" w:eastAsia="仿宋_GB2312" w:cs="仿宋_GB2312"/>
                <w:szCs w:val="21"/>
              </w:rPr>
              <w:t>事故抢救操作规程、事故处理制度、治安保卫制度、安全救护制度、卫生检查制度、设备维修制度及各类人员岗位服务责任制未上墙公示</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sz w:val="20"/>
              </w:rPr>
            </w:pPr>
            <w:r>
              <w:rPr>
                <w:color w:val="000000"/>
                <w:sz w:val="20"/>
              </w:rPr>
              <w:drawing>
                <wp:inline distT="0" distB="0" distL="114300" distR="114300">
                  <wp:extent cx="1285875" cy="1714500"/>
                  <wp:effectExtent l="0" t="0" r="9525" b="0"/>
                  <wp:docPr id="3" name="图片 3" descr="微信图片_20210428191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4281915002"/>
                          <pic:cNvPicPr>
                            <a:picLocks noChangeAspect="1"/>
                          </pic:cNvPicPr>
                        </pic:nvPicPr>
                        <pic:blipFill>
                          <a:blip r:embed="rId8"/>
                          <a:stretch>
                            <a:fillRect/>
                          </a:stretch>
                        </pic:blipFill>
                        <pic:spPr>
                          <a:xfrm>
                            <a:off x="0" y="0"/>
                            <a:ext cx="1285875" cy="1714500"/>
                          </a:xfrm>
                          <a:prstGeom prst="rect">
                            <a:avLst/>
                          </a:prstGeom>
                          <a:noFill/>
                          <a:ln>
                            <a:noFill/>
                          </a:ln>
                        </pic:spPr>
                      </pic:pic>
                    </a:graphicData>
                  </a:graphic>
                </wp:inline>
              </w:drawing>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新区文化广电旅游体育局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卡丁车场系列安全管理制度必须上墙公示</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GB 19079.2-2005《体育场所开放条件与技术要求 第2部分：卡丁车场所》7.5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Style w:val="9"/>
                <w:rFonts w:ascii="仿宋_GB2312" w:hAnsi="仿宋_GB2312" w:eastAsia="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仿宋_GB2312" w:hAnsi="仿宋_GB2312"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8"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560" w:lineRule="exact"/>
              <w:ind w:firstLine="0" w:firstLineChars="0"/>
              <w:jc w:val="center"/>
              <w:textAlignment w:val="center"/>
              <w:rPr>
                <w:rStyle w:val="9"/>
                <w:rFonts w:ascii="仿宋_GB2312" w:hAnsi="仿宋_GB2312" w:eastAsia="仿宋_GB2312"/>
                <w:color w:val="000000"/>
                <w:szCs w:val="21"/>
              </w:rPr>
            </w:pPr>
            <w:r>
              <w:rPr>
                <w:rStyle w:val="9"/>
                <w:rFonts w:hint="eastAsia" w:ascii="仿宋_GB2312" w:hAnsi="仿宋_GB2312" w:eastAsia="仿宋_GB2312"/>
                <w:color w:val="000000"/>
                <w:szCs w:val="21"/>
              </w:rPr>
              <w:t>3</w:t>
            </w:r>
          </w:p>
        </w:tc>
        <w:tc>
          <w:tcPr>
            <w:tcW w:w="85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深圳市飙飙运动文化有限公司（大鹏）</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目前只能提供两台卡丁车产品检验合格证明，其他卡丁车都未能提供。</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sz w:val="20"/>
              </w:rPr>
            </w:pPr>
            <w:r>
              <w:rPr>
                <w:color w:val="000000"/>
                <w:sz w:val="20"/>
              </w:rPr>
              <w:drawing>
                <wp:inline distT="0" distB="0" distL="114300" distR="114300">
                  <wp:extent cx="1285875" cy="1714500"/>
                  <wp:effectExtent l="0" t="0" r="9525" b="0"/>
                  <wp:docPr id="4" name="图片 4" descr="微信图片_202104291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429141716"/>
                          <pic:cNvPicPr>
                            <a:picLocks noChangeAspect="1"/>
                          </pic:cNvPicPr>
                        </pic:nvPicPr>
                        <pic:blipFill>
                          <a:blip r:embed="rId9"/>
                          <a:stretch>
                            <a:fillRect/>
                          </a:stretch>
                        </pic:blipFill>
                        <pic:spPr>
                          <a:xfrm>
                            <a:off x="0" y="0"/>
                            <a:ext cx="1285875" cy="1714500"/>
                          </a:xfrm>
                          <a:prstGeom prst="rect">
                            <a:avLst/>
                          </a:prstGeom>
                          <a:noFill/>
                          <a:ln>
                            <a:noFill/>
                          </a:ln>
                        </pic:spPr>
                      </pic:pic>
                    </a:graphicData>
                  </a:graphic>
                </wp:inline>
              </w:drawing>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新区文化广电旅游体育局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0"/>
                <w:szCs w:val="22"/>
              </w:rPr>
            </w:pPr>
            <w:r>
              <w:rPr>
                <w:rFonts w:hint="eastAsia" w:ascii="仿宋_GB2312" w:hAnsi="仿宋_GB2312" w:eastAsia="仿宋_GB2312" w:cs="仿宋_GB2312"/>
                <w:color w:val="000000"/>
                <w:sz w:val="20"/>
                <w:szCs w:val="22"/>
              </w:rPr>
              <w:t>卡丁车应取得符合法定条件的专业技术组织出具的产品检验合格证明</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0"/>
                <w:szCs w:val="22"/>
              </w:rPr>
            </w:pPr>
            <w:r>
              <w:rPr>
                <w:rFonts w:hint="eastAsia" w:ascii="仿宋_GB2312" w:hAnsi="仿宋_GB2312" w:eastAsia="仿宋_GB2312" w:cs="仿宋_GB2312"/>
                <w:color w:val="000000"/>
                <w:sz w:val="20"/>
                <w:szCs w:val="22"/>
              </w:rPr>
              <w:t>GB 19079.2-2005《体育场所开放条件与技术要求 第2部分：卡丁车场所》5.2.6</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Style w:val="9"/>
                <w:rFonts w:ascii="仿宋_GB2312" w:hAnsi="仿宋_GB2312" w:eastAsia="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仿宋_GB2312" w:hAnsi="仿宋_GB2312"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7"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560" w:lineRule="exact"/>
              <w:ind w:firstLine="0" w:firstLineChars="0"/>
              <w:jc w:val="center"/>
              <w:textAlignment w:val="center"/>
              <w:rPr>
                <w:rStyle w:val="9"/>
                <w:rFonts w:hint="eastAsia" w:ascii="仿宋_GB2312" w:hAnsi="仿宋_GB2312" w:eastAsia="仿宋_GB2312"/>
                <w:color w:val="000000"/>
                <w:szCs w:val="21"/>
              </w:rPr>
            </w:pPr>
            <w:r>
              <w:rPr>
                <w:rStyle w:val="9"/>
                <w:rFonts w:hint="eastAsia" w:ascii="仿宋_GB2312" w:hAnsi="仿宋_GB2312" w:eastAsia="仿宋_GB2312"/>
                <w:color w:val="000000"/>
                <w:szCs w:val="21"/>
              </w:rPr>
              <w:t>4</w:t>
            </w:r>
          </w:p>
        </w:tc>
        <w:tc>
          <w:tcPr>
            <w:tcW w:w="85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深圳市飙飙运动文化有限公司（大鹏）</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卡丁车安全指导员目前只有一人持证，且证件已过期</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color w:val="000000"/>
                <w:sz w:val="20"/>
              </w:rPr>
            </w:pPr>
            <w:r>
              <w:rPr>
                <w:rFonts w:hint="eastAsia"/>
                <w:color w:val="000000"/>
                <w:sz w:val="20"/>
              </w:rPr>
              <w:drawing>
                <wp:inline distT="0" distB="0" distL="114300" distR="114300">
                  <wp:extent cx="1285875" cy="2286000"/>
                  <wp:effectExtent l="0" t="0" r="9525" b="0"/>
                  <wp:docPr id="5" name="图片 5" descr="微信图片_2021042819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428194239"/>
                          <pic:cNvPicPr>
                            <a:picLocks noChangeAspect="1"/>
                          </pic:cNvPicPr>
                        </pic:nvPicPr>
                        <pic:blipFill>
                          <a:blip r:embed="rId10"/>
                          <a:stretch>
                            <a:fillRect/>
                          </a:stretch>
                        </pic:blipFill>
                        <pic:spPr>
                          <a:xfrm>
                            <a:off x="0" y="0"/>
                            <a:ext cx="1285875" cy="2286000"/>
                          </a:xfrm>
                          <a:prstGeom prst="rect">
                            <a:avLst/>
                          </a:prstGeom>
                          <a:noFill/>
                          <a:ln>
                            <a:noFill/>
                          </a:ln>
                        </pic:spPr>
                      </pic:pic>
                    </a:graphicData>
                  </a:graphic>
                </wp:inline>
              </w:drawing>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新区文化广电旅游体育局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0"/>
                <w:szCs w:val="22"/>
              </w:rPr>
            </w:pPr>
            <w:r>
              <w:rPr>
                <w:rFonts w:hint="eastAsia" w:ascii="仿宋_GB2312" w:hAnsi="仿宋_GB2312" w:eastAsia="仿宋_GB2312" w:cs="仿宋_GB2312"/>
                <w:color w:val="000000"/>
                <w:sz w:val="20"/>
                <w:szCs w:val="22"/>
              </w:rPr>
              <w:t>卡丁车场应至少配备2名卡丁车驾驶技术指导人员，且必须持外证上岗</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0"/>
                <w:szCs w:val="22"/>
              </w:rPr>
            </w:pPr>
            <w:r>
              <w:rPr>
                <w:rFonts w:hint="eastAsia" w:ascii="仿宋_GB2312" w:hAnsi="仿宋_GB2312" w:eastAsia="仿宋_GB2312" w:cs="仿宋_GB2312"/>
                <w:color w:val="000000"/>
                <w:sz w:val="20"/>
                <w:szCs w:val="22"/>
              </w:rPr>
              <w:t>GB 19079.2-2005《体育场所开放条件与技术要求 第2部分：卡丁车场所》7.3</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Style w:val="9"/>
                <w:rFonts w:ascii="仿宋_GB2312" w:hAnsi="仿宋_GB2312" w:eastAsia="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仿宋_GB2312" w:hAnsi="仿宋_GB2312"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7" w:hRule="atLeas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560" w:lineRule="exact"/>
              <w:ind w:firstLine="0" w:firstLineChars="0"/>
              <w:jc w:val="center"/>
              <w:textAlignment w:val="center"/>
              <w:rPr>
                <w:rFonts w:ascii="仿宋_GB2312" w:hAnsi="仿宋_GB2312" w:eastAsia="仿宋_GB2312"/>
                <w:color w:val="000000"/>
                <w:szCs w:val="21"/>
              </w:rPr>
            </w:pPr>
            <w:r>
              <w:rPr>
                <w:rStyle w:val="9"/>
                <w:rFonts w:hint="eastAsia" w:ascii="仿宋_GB2312" w:hAnsi="仿宋_GB2312" w:eastAsia="仿宋_GB2312"/>
                <w:color w:val="000000"/>
                <w:szCs w:val="21"/>
              </w:rPr>
              <w:t>5</w:t>
            </w:r>
          </w:p>
        </w:tc>
        <w:tc>
          <w:tcPr>
            <w:tcW w:w="85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深圳市飙飙运动文化有限公司（大鹏）</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未能提供在用卡丁车年度安全检验合格证明</w:t>
            </w:r>
          </w:p>
        </w:tc>
        <w:tc>
          <w:tcPr>
            <w:tcW w:w="20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sz w:val="20"/>
              </w:rPr>
            </w:pPr>
            <w:r>
              <w:rPr>
                <w:rFonts w:hint="eastAsia"/>
                <w:color w:val="000000"/>
                <w:sz w:val="20"/>
              </w:rPr>
              <w:t>无</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新区文化广电旅游体育局</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color w:val="000000"/>
                <w:sz w:val="20"/>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8"/>
                <w:rFonts w:hint="eastAsia" w:ascii="仿宋_GB2312" w:hAnsi="仿宋_GB2312" w:eastAsia="仿宋_GB2312" w:cs="仿宋_GB2312"/>
                <w:b w:val="0"/>
                <w:bCs w:val="0"/>
                <w:color w:val="000000"/>
                <w:sz w:val="20"/>
                <w:szCs w:val="22"/>
                <w:shd w:val="clear" w:color="auto" w:fill="auto"/>
              </w:rPr>
            </w:pPr>
            <w:r>
              <w:rPr>
                <w:rFonts w:hint="eastAsia" w:ascii="仿宋_GB2312" w:hAnsi="仿宋_GB2312" w:eastAsia="仿宋_GB2312" w:cs="仿宋_GB2312"/>
                <w:color w:val="000000"/>
                <w:sz w:val="20"/>
                <w:szCs w:val="22"/>
              </w:rPr>
              <w:t>卡丁车每年应经符合法定条件的专业技术组织检验合格后方能使用</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szCs w:val="22"/>
              </w:rPr>
              <w:t>GB 19079.2-2005《体育场所开放条件与技术要求 第2部分：卡丁车场所》5.2.7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Style w:val="9"/>
                <w:rFonts w:ascii="仿宋_GB2312" w:hAnsi="仿宋_GB2312" w:eastAsia="仿宋_GB2312"/>
                <w:color w:val="000000"/>
                <w:sz w:val="24"/>
                <w:szCs w:val="24"/>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baseline"/>
              <w:rPr>
                <w:rStyle w:val="9"/>
                <w:rFonts w:ascii="仿宋_GB2312" w:hAnsi="仿宋_GB2312"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7" w:hRule="atLeast"/>
        </w:trPr>
        <w:tc>
          <w:tcPr>
            <w:tcW w:w="656" w:type="dxa"/>
            <w:noWrap w:val="0"/>
            <w:vAlign w:val="center"/>
          </w:tcPr>
          <w:p>
            <w:pPr>
              <w:pStyle w:val="10"/>
              <w:spacing w:line="560" w:lineRule="exact"/>
              <w:ind w:firstLine="0" w:firstLineChars="0"/>
              <w:jc w:val="center"/>
              <w:textAlignment w:val="center"/>
              <w:rPr>
                <w:rFonts w:ascii="仿宋_GB2312" w:hAnsi="仿宋_GB2312" w:eastAsia="仿宋_GB2312"/>
                <w:color w:val="000000"/>
                <w:szCs w:val="21"/>
              </w:rPr>
            </w:pPr>
            <w:r>
              <w:rPr>
                <w:rStyle w:val="9"/>
                <w:rFonts w:hint="eastAsia" w:ascii="仿宋_GB2312" w:hAnsi="仿宋_GB2312" w:eastAsia="仿宋_GB2312"/>
                <w:color w:val="000000"/>
                <w:szCs w:val="21"/>
              </w:rPr>
              <w:t>6</w:t>
            </w:r>
          </w:p>
        </w:tc>
        <w:tc>
          <w:tcPr>
            <w:tcW w:w="850" w:type="dxa"/>
            <w:noWrap w:val="0"/>
            <w:vAlign w:val="center"/>
          </w:tcPr>
          <w:p>
            <w:pPr>
              <w:widowControl/>
              <w:jc w:val="center"/>
              <w:textAlignment w:val="center"/>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深圳市飙飙运动文化有限公司（大鹏）</w:t>
            </w:r>
          </w:p>
        </w:tc>
        <w:tc>
          <w:tcPr>
            <w:tcW w:w="1098" w:type="dxa"/>
            <w:noWrap w:val="0"/>
            <w:vAlign w:val="center"/>
          </w:tcPr>
          <w:p>
            <w:pP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未建立安全管理制度及安全管理档案</w:t>
            </w:r>
          </w:p>
        </w:tc>
        <w:tc>
          <w:tcPr>
            <w:tcW w:w="2041" w:type="dxa"/>
            <w:noWrap w:val="0"/>
            <w:vAlign w:val="center"/>
          </w:tcPr>
          <w:p>
            <w:pPr>
              <w:jc w:val="center"/>
              <w:textAlignment w:val="center"/>
              <w:rPr>
                <w:rFonts w:hint="eastAsia"/>
                <w:color w:val="000000"/>
                <w:sz w:val="20"/>
              </w:rPr>
            </w:pPr>
            <w:r>
              <w:rPr>
                <w:rFonts w:hint="eastAsia"/>
                <w:color w:val="000000"/>
                <w:sz w:val="20"/>
              </w:rPr>
              <w:t>无</w:t>
            </w:r>
          </w:p>
        </w:tc>
        <w:tc>
          <w:tcPr>
            <w:tcW w:w="1125" w:type="dxa"/>
            <w:noWrap w:val="0"/>
            <w:vAlign w:val="center"/>
          </w:tcPr>
          <w:p>
            <w:pPr>
              <w:jc w:val="center"/>
              <w:textAlignment w:val="baseline"/>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新区文化广电旅游体育局</w:t>
            </w:r>
          </w:p>
        </w:tc>
        <w:tc>
          <w:tcPr>
            <w:tcW w:w="1065" w:type="dxa"/>
            <w:noWrap w:val="0"/>
            <w:vAlign w:val="center"/>
          </w:tcPr>
          <w:p>
            <w:pPr>
              <w:jc w:val="center"/>
              <w:textAlignment w:val="center"/>
              <w:rPr>
                <w:rFonts w:hint="eastAsia" w:ascii="仿宋_GB2312" w:hAnsi="仿宋_GB2312" w:eastAsia="仿宋_GB2312" w:cs="仿宋_GB2312"/>
                <w:color w:val="000000"/>
                <w:sz w:val="20"/>
              </w:rPr>
            </w:pPr>
          </w:p>
        </w:tc>
        <w:tc>
          <w:tcPr>
            <w:tcW w:w="1065" w:type="dxa"/>
            <w:noWrap w:val="0"/>
            <w:vAlign w:val="center"/>
          </w:tcPr>
          <w:p>
            <w:pPr>
              <w:jc w:val="center"/>
              <w:textAlignment w:val="center"/>
              <w:rPr>
                <w:rFonts w:hint="eastAsia" w:ascii="仿宋_GB2312" w:hAnsi="仿宋_GB2312" w:eastAsia="仿宋_GB2312" w:cs="仿宋_GB2312"/>
                <w:color w:val="000000"/>
                <w:sz w:val="20"/>
              </w:rPr>
            </w:pPr>
          </w:p>
        </w:tc>
        <w:tc>
          <w:tcPr>
            <w:tcW w:w="1251" w:type="dxa"/>
            <w:noWrap w:val="0"/>
            <w:vAlign w:val="center"/>
          </w:tcPr>
          <w:p>
            <w:pPr>
              <w:widowControl/>
              <w:jc w:val="center"/>
              <w:textAlignment w:val="center"/>
              <w:rPr>
                <w:rFonts w:hint="eastAsia" w:ascii="仿宋_GB2312" w:hAnsi="仿宋_GB2312" w:eastAsia="仿宋_GB2312" w:cs="仿宋_GB2312"/>
                <w:color w:val="000000"/>
                <w:sz w:val="20"/>
                <w:szCs w:val="22"/>
              </w:rPr>
            </w:pPr>
            <w:r>
              <w:rPr>
                <w:rFonts w:hint="eastAsia" w:ascii="仿宋_GB2312" w:hAnsi="仿宋_GB2312" w:eastAsia="仿宋_GB2312" w:cs="仿宋_GB2312"/>
                <w:color w:val="000000"/>
                <w:sz w:val="20"/>
                <w:szCs w:val="22"/>
              </w:rPr>
              <w:t>尽快完善安全管理制度及安全管理档案</w:t>
            </w:r>
          </w:p>
        </w:tc>
        <w:tc>
          <w:tcPr>
            <w:tcW w:w="1554" w:type="dxa"/>
            <w:noWrap w:val="0"/>
            <w:vAlign w:val="center"/>
          </w:tcPr>
          <w:p>
            <w:pPr>
              <w:widowControl/>
              <w:jc w:val="center"/>
              <w:textAlignment w:val="center"/>
              <w:rPr>
                <w:rFonts w:hint="eastAsia" w:ascii="仿宋_GB2312" w:hAnsi="仿宋_GB2312" w:eastAsia="仿宋_GB2312" w:cs="仿宋_GB2312"/>
                <w:color w:val="000000"/>
                <w:sz w:val="20"/>
                <w:szCs w:val="22"/>
              </w:rPr>
            </w:pPr>
            <w:r>
              <w:rPr>
                <w:rFonts w:hint="eastAsia" w:ascii="仿宋_GB2312" w:hAnsi="仿宋_GB2312" w:eastAsia="仿宋_GB2312" w:cs="仿宋_GB2312"/>
                <w:color w:val="000000"/>
                <w:sz w:val="20"/>
                <w:szCs w:val="22"/>
              </w:rPr>
              <w:t>《中华人民共和国安全生产法》第十八条、第二十二条</w:t>
            </w:r>
          </w:p>
        </w:tc>
        <w:tc>
          <w:tcPr>
            <w:tcW w:w="1026" w:type="dxa"/>
            <w:noWrap w:val="0"/>
            <w:vAlign w:val="top"/>
          </w:tcPr>
          <w:p>
            <w:pPr>
              <w:spacing w:line="560" w:lineRule="exact"/>
              <w:jc w:val="center"/>
              <w:textAlignment w:val="center"/>
              <w:rPr>
                <w:rStyle w:val="9"/>
                <w:rFonts w:ascii="仿宋_GB2312" w:hAnsi="仿宋_GB2312" w:eastAsia="仿宋_GB2312"/>
                <w:color w:val="000000"/>
                <w:sz w:val="24"/>
                <w:szCs w:val="24"/>
              </w:rPr>
            </w:pPr>
          </w:p>
        </w:tc>
        <w:tc>
          <w:tcPr>
            <w:tcW w:w="1740" w:type="dxa"/>
            <w:noWrap w:val="0"/>
            <w:vAlign w:val="top"/>
          </w:tcPr>
          <w:p>
            <w:pPr>
              <w:spacing w:line="560" w:lineRule="exact"/>
              <w:jc w:val="center"/>
              <w:textAlignment w:val="baseline"/>
              <w:rPr>
                <w:rStyle w:val="9"/>
                <w:rFonts w:ascii="仿宋_GB2312" w:hAnsi="仿宋_GB2312" w:eastAsia="仿宋_GB2312"/>
                <w:color w:val="000000"/>
                <w:sz w:val="24"/>
                <w:szCs w:val="24"/>
              </w:rPr>
            </w:pPr>
          </w:p>
        </w:tc>
      </w:tr>
    </w:tbl>
    <w:p>
      <w:pPr>
        <w:keepNext w:val="0"/>
        <w:keepLines w:val="0"/>
        <w:pageBreakBefore w:val="0"/>
        <w:tabs>
          <w:tab w:val="left" w:pos="3684"/>
        </w:tabs>
        <w:kinsoku/>
        <w:wordWrap/>
        <w:overflowPunct/>
        <w:topLinePunct w:val="0"/>
        <w:autoSpaceDE/>
        <w:autoSpaceDN/>
        <w:bidi w:val="0"/>
        <w:adjustRightInd/>
        <w:snapToGrid/>
        <w:spacing w:line="520" w:lineRule="exact"/>
        <w:jc w:val="left"/>
        <w:textAlignment w:val="auto"/>
        <w:rPr>
          <w:rFonts w:hint="eastAsia"/>
          <w:lang w:val="en-US" w:eastAsia="zh-CN"/>
        </w:rPr>
      </w:pPr>
      <w:r>
        <w:rPr>
          <w:rFonts w:hint="eastAsia"/>
          <w:lang w:val="en-US" w:eastAsia="zh-CN"/>
        </w:rPr>
        <w:br w:type="page"/>
      </w:r>
    </w:p>
    <w:p>
      <w:bookmarkStart w:id="0" w:name="_GoBack"/>
      <w:bookmarkEnd w:id="0"/>
    </w:p>
    <w:sectPr>
      <w:headerReference r:id="rId3" w:type="first"/>
      <w:footerReference r:id="rId4" w:type="first"/>
      <w:pgSz w:w="16838" w:h="11906" w:orient="landscape"/>
      <w:pgMar w:top="1587" w:right="2098" w:bottom="1474" w:left="1984" w:header="567" w:footer="90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ascii="方正小标宋简体" w:hAnsi="华文中宋" w:eastAsia="方正小标宋简体" w:cs="华文中宋"/>
        <w:color w:val="FF0000"/>
        <w:spacing w:val="40"/>
        <w:kern w:val="21"/>
        <w:sz w:val="62"/>
        <w:szCs w:val="62"/>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83488"/>
    <w:rsid w:val="32D8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eastAsia="Times New Roman"/>
      <w:sz w:val="3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color w:val="338DE6"/>
      <w:u w:val="none"/>
    </w:rPr>
  </w:style>
  <w:style w:type="character" w:customStyle="1" w:styleId="9">
    <w:name w:val="NormalCharacter"/>
    <w:qFormat/>
    <w:uiPriority w:val="0"/>
  </w:style>
  <w:style w:type="paragraph" w:customStyle="1" w:styleId="10">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2021-05-10T02:08:00Z</dcterms:created>
  <dc:creator>钟嘉财</dc:creator>
  <cp:lastModifiedBy>钟嘉财</cp:lastModifiedBy>
  <dcterms:modified xsi:type="dcterms:W3CDTF">2021-05-10T02:14:32Z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