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Theme="minorEastAsia" w:hAnsiTheme="minorEastAsia" w:cstheme="minorEastAsia"/>
          <w:b/>
          <w:bCs/>
          <w:color w:val="000000"/>
          <w:kern w:val="36"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36"/>
          <w:sz w:val="44"/>
          <w:szCs w:val="44"/>
        </w:rPr>
        <w:t>大鹏新区2021年清明假期旅游简报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深圳市作为常住人口超过2000万、流动人口超过1000万的城市，拥有四通三达的国际综合交通枢纽。这为旅游业的蓬勃发展带来契机，同时也经受着疫情带来的严峻考验。受疫情影响，深圳市大鹏新区旅游业大幅下滑。但随着疫情防控取得重大战略成果，进入4月份后，大鹏新区旅游业的市场逐渐有所回暖。</w:t>
      </w:r>
    </w:p>
    <w:p>
      <w:pPr>
        <w:numPr>
          <w:ilvl w:val="0"/>
          <w:numId w:val="1"/>
        </w:numPr>
        <w:spacing w:line="560" w:lineRule="exact"/>
        <w:ind w:firstLine="482" w:firstLineChars="200"/>
        <w:outlineLvl w:val="0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大鹏新区清明假期旅游市场总体情况</w:t>
      </w:r>
    </w:p>
    <w:p>
      <w:pPr>
        <w:spacing w:line="56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通过移动大数据统计，反映清明假期期间大鹏新区旅游市场的总体情况，包括游客的总人次、旅游收入、游客人均消费、游客性别、游客年龄层次、游客来源地等。由移动大数据统计可知，清明假期期间，共</w:t>
      </w:r>
      <w:r>
        <w:rPr>
          <w:rFonts w:asciiTheme="minorEastAsia" w:hAnsiTheme="minorEastAsia" w:cstheme="minorEastAsia"/>
          <w:sz w:val="24"/>
          <w:szCs w:val="24"/>
        </w:rPr>
        <w:t>20.95</w:t>
      </w:r>
      <w:r>
        <w:rPr>
          <w:rFonts w:hint="eastAsia" w:asciiTheme="minorEastAsia" w:hAnsiTheme="minorEastAsia" w:cstheme="minorEastAsia"/>
          <w:sz w:val="24"/>
          <w:szCs w:val="24"/>
        </w:rPr>
        <w:t>万人到访大鹏新区。</w:t>
      </w:r>
    </w:p>
    <w:p>
      <w:pPr>
        <w:pStyle w:val="11"/>
        <w:spacing w:line="360" w:lineRule="auto"/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——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游客总人次、旅游收入和人均消费分析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测算数据显示，三天假期，大鹏新区共接待游客</w:t>
      </w:r>
      <w:r>
        <w:rPr>
          <w:rFonts w:asciiTheme="minorEastAsia" w:hAnsiTheme="minorEastAsia" w:eastAsiaTheme="minorEastAsia" w:cstheme="minorEastAsia"/>
          <w:sz w:val="24"/>
          <w:szCs w:val="24"/>
        </w:rPr>
        <w:t>20.95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万人次，实现旅游收入0.</w:t>
      </w:r>
      <w:r>
        <w:rPr>
          <w:rFonts w:asciiTheme="minorEastAsia" w:hAnsiTheme="minorEastAsia" w:eastAsiaTheme="minorEastAsia" w:cstheme="minorEastAsia"/>
          <w:sz w:val="24"/>
          <w:szCs w:val="24"/>
        </w:rPr>
        <w:t>63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亿元，人均消费</w:t>
      </w:r>
      <w:r>
        <w:rPr>
          <w:rFonts w:asciiTheme="minorEastAsia" w:hAnsiTheme="minorEastAsia" w:eastAsiaTheme="minorEastAsia" w:cstheme="minorEastAsia"/>
          <w:sz w:val="24"/>
          <w:szCs w:val="24"/>
        </w:rPr>
        <w:t>300.72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元。</w:t>
      </w:r>
    </w:p>
    <w:p>
      <w:pPr>
        <w:pStyle w:val="11"/>
        <w:spacing w:line="360" w:lineRule="auto"/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——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一日游游客分析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测算数据显示，三天假期，大鹏新区共接待一日游游客</w:t>
      </w:r>
      <w:r>
        <w:rPr>
          <w:rFonts w:asciiTheme="minorEastAsia" w:hAnsiTheme="minorEastAsia" w:eastAsiaTheme="minorEastAsia" w:cstheme="minorEastAsia"/>
          <w:sz w:val="24"/>
          <w:szCs w:val="24"/>
        </w:rPr>
        <w:t>19.57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万人次。</w:t>
      </w:r>
    </w:p>
    <w:p>
      <w:pPr>
        <w:pStyle w:val="11"/>
        <w:spacing w:line="360" w:lineRule="auto"/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——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过夜游客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分析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测算数据显示，三天假期，大鹏新区共接待过夜游客</w:t>
      </w:r>
      <w:r>
        <w:rPr>
          <w:rFonts w:asciiTheme="minorEastAsia" w:hAnsiTheme="minorEastAsia" w:eastAsiaTheme="minorEastAsia" w:cstheme="minorEastAsia"/>
          <w:sz w:val="24"/>
          <w:szCs w:val="24"/>
        </w:rPr>
        <w:t>1.38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万人次。</w:t>
      </w:r>
    </w:p>
    <w:p>
      <w:pPr>
        <w:pStyle w:val="11"/>
        <w:spacing w:line="360" w:lineRule="auto"/>
        <w:ind w:firstLine="48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——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游客性别比例分析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按性别比例分析，清明假期期间来大鹏新区旅游的游客中男性为5</w:t>
      </w:r>
      <w:r>
        <w:rPr>
          <w:rFonts w:asciiTheme="minorEastAsia" w:hAnsiTheme="minorEastAsia" w:eastAsiaTheme="minorEastAsia" w:cstheme="minorEastAsia"/>
          <w:sz w:val="24"/>
          <w:szCs w:val="24"/>
        </w:rPr>
        <w:t>4.98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%，女性为4</w:t>
      </w:r>
      <w:r>
        <w:rPr>
          <w:rFonts w:asciiTheme="minorEastAsia" w:hAnsiTheme="minorEastAsia" w:eastAsiaTheme="minorEastAsia" w:cstheme="minorEastAsia"/>
          <w:sz w:val="24"/>
          <w:szCs w:val="24"/>
        </w:rPr>
        <w:t>5.02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%。男女比例约为</w:t>
      </w:r>
      <w:r>
        <w:rPr>
          <w:rFonts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:4，推测认为男性较女性更热衷于外出旅游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</w:t>
      </w:r>
    </w:p>
    <w:p>
      <w:pPr>
        <w:pStyle w:val="11"/>
        <w:spacing w:line="360" w:lineRule="auto"/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——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游客年龄段占比分析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按年龄段分析，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分为少年（14岁以下）、青年（15-24岁）、壮盛年（25-44岁）、中年（45-64岁）、老年（65岁及以上）。统计分析清明假期假期内大鹏新区的游客年龄占比，其中少年占比0.0</w:t>
      </w:r>
      <w:r>
        <w:rPr>
          <w:rFonts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%、青年占比</w:t>
      </w:r>
      <w:r>
        <w:rPr>
          <w:rFonts w:asciiTheme="minorEastAsia" w:hAnsiTheme="minorEastAsia" w:eastAsiaTheme="minorEastAsia" w:cstheme="minorEastAsia"/>
          <w:sz w:val="24"/>
          <w:szCs w:val="24"/>
        </w:rPr>
        <w:t>9.69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%、壮盛年占比</w:t>
      </w:r>
      <w:r>
        <w:rPr>
          <w:rFonts w:asciiTheme="minorEastAsia" w:hAnsiTheme="minorEastAsia" w:eastAsiaTheme="minorEastAsia" w:cstheme="minorEastAsia"/>
          <w:sz w:val="24"/>
          <w:szCs w:val="24"/>
        </w:rPr>
        <w:t>77.70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%、中年占比</w:t>
      </w:r>
      <w:r>
        <w:rPr>
          <w:rFonts w:asciiTheme="minorEastAsia" w:hAnsiTheme="minorEastAsia" w:eastAsiaTheme="minorEastAsia" w:cstheme="minorEastAsia"/>
          <w:sz w:val="24"/>
          <w:szCs w:val="24"/>
        </w:rPr>
        <w:t>11.55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%、老年占比1.</w:t>
      </w:r>
      <w:r>
        <w:rPr>
          <w:rFonts w:asciiTheme="minorEastAsia" w:hAnsiTheme="minorEastAsia" w:eastAsiaTheme="minorEastAsia" w:cstheme="minorEastAsia"/>
          <w:sz w:val="24"/>
          <w:szCs w:val="24"/>
        </w:rPr>
        <w:t>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%。分析认为游客中壮盛年游客占比最高，少年游客和老年游客占比最少，其它年龄层次的游客相差不大。</w:t>
      </w:r>
    </w:p>
    <w:p>
      <w:pPr>
        <w:pStyle w:val="11"/>
        <w:spacing w:line="360" w:lineRule="auto"/>
        <w:ind w:firstLine="48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——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游客来源地分布占比分析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统计分析清明假期期间游客来源地情况，省内输出TOP10地市，省外（含广东）输出TOP10省份。</w:t>
      </w:r>
    </w:p>
    <w:p>
      <w:pPr>
        <w:pStyle w:val="11"/>
        <w:spacing w:line="360" w:lineRule="auto"/>
        <w:ind w:firstLine="48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HAnsi" w:hAnsiTheme="minorEastAsia" w:eastAsiaTheme="minorEastAsia" w:cstheme="minorEastAsia"/>
          <w:kern w:val="0"/>
          <w:sz w:val="24"/>
          <w:szCs w:val="24"/>
        </w:rPr>
        <w:t>数据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分析可知，2021年清明假期期间来大鹏新区旅游省内游客中，以深圳本地游客为主力，对比省内占比为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67.63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%，远多于其它省内地市。非深圳游客中则以广州（9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.40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%）、东莞（7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.87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%）、惠州（2.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74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%）为主，梅州、佛山、茂名、湛江、河源、中山等地市占比差异较小（均在1%以内）。</w:t>
      </w:r>
    </w:p>
    <w:p>
      <w:pPr>
        <w:pStyle w:val="11"/>
        <w:spacing w:line="360" w:lineRule="auto"/>
        <w:ind w:firstLine="48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国内游客以广东省省内游客为主，占国内游客的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65.63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%。其他除了湖南（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3.30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%）、江西（2.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34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%）、湖北（2</w:t>
      </w:r>
      <w:r>
        <w:rPr>
          <w:rFonts w:asciiTheme="minorEastAsia" w:hAnsiTheme="minorEastAsia" w:eastAsiaTheme="minorEastAsia" w:cstheme="minorEastAsia"/>
          <w:kern w:val="0"/>
          <w:sz w:val="24"/>
          <w:szCs w:val="24"/>
        </w:rPr>
        <w:t>.3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%）、广西（2%）占比超出2%。河南、四川、贵州、上海、北京等地的游客占比均在2%以下。整体来看，除了广东省，省外分布较为均衡。</w:t>
      </w:r>
    </w:p>
    <w:p>
      <w:pPr>
        <w:numPr>
          <w:ilvl w:val="0"/>
          <w:numId w:val="1"/>
        </w:numPr>
        <w:spacing w:line="560" w:lineRule="exact"/>
        <w:ind w:firstLine="482" w:firstLineChars="200"/>
        <w:outlineLvl w:val="0"/>
        <w:rPr>
          <w:rFonts w:asciiTheme="minorEastAsia" w:hAnsiTheme="minorEastAsia" w:cstheme="minorEastAsia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大鹏新区清明假期各天旅游市场情况</w:t>
      </w:r>
    </w:p>
    <w:p>
      <w:pPr>
        <w:spacing w:line="56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通过移动大数据统计，并对比2020年清明假期大鹏新区的旅游情况。可知，以下分析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——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清明假期第一天分析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cstheme="minorEastAsia"/>
          <w:sz w:val="24"/>
          <w:szCs w:val="24"/>
        </w:rPr>
        <w:t>假期第一天，当日接待人次为</w:t>
      </w:r>
      <w:r>
        <w:rPr>
          <w:rFonts w:asciiTheme="minorEastAsia" w:hAnsiTheme="minorEastAsia" w:cstheme="minorEastAsia"/>
          <w:sz w:val="24"/>
          <w:szCs w:val="24"/>
        </w:rPr>
        <w:t>7.73</w:t>
      </w:r>
      <w:r>
        <w:rPr>
          <w:rFonts w:hint="eastAsia" w:asciiTheme="minorEastAsia" w:hAnsiTheme="minorEastAsia" w:cstheme="minorEastAsia"/>
          <w:sz w:val="24"/>
          <w:szCs w:val="24"/>
        </w:rPr>
        <w:t>万人次，旅游收入为0.</w:t>
      </w:r>
      <w:r>
        <w:rPr>
          <w:rFonts w:asciiTheme="minorEastAsia" w:hAnsiTheme="minorEastAsia" w:cstheme="minorEastAsia"/>
          <w:sz w:val="24"/>
          <w:szCs w:val="24"/>
        </w:rPr>
        <w:t>23</w:t>
      </w:r>
      <w:r>
        <w:rPr>
          <w:rFonts w:hint="eastAsia" w:asciiTheme="minorEastAsia" w:hAnsiTheme="minorEastAsia" w:cstheme="minorEastAsia"/>
          <w:sz w:val="24"/>
          <w:szCs w:val="24"/>
        </w:rPr>
        <w:t>亿元，人均消费为2</w:t>
      </w:r>
      <w:r>
        <w:rPr>
          <w:rFonts w:asciiTheme="minorEastAsia" w:hAnsiTheme="minorEastAsia" w:cstheme="minorEastAsia"/>
          <w:sz w:val="24"/>
          <w:szCs w:val="24"/>
        </w:rPr>
        <w:t>97.54</w:t>
      </w:r>
      <w:r>
        <w:rPr>
          <w:rFonts w:hint="eastAsia" w:asciiTheme="minorEastAsia" w:hAnsiTheme="minorEastAsia" w:cstheme="minorEastAsia"/>
          <w:sz w:val="24"/>
          <w:szCs w:val="24"/>
        </w:rPr>
        <w:t>元。与去年同期相比，旅游收入同比上升3</w:t>
      </w:r>
      <w:r>
        <w:rPr>
          <w:rFonts w:asciiTheme="minorEastAsia" w:hAnsiTheme="minorEastAsia" w:cstheme="minorEastAsia"/>
          <w:sz w:val="24"/>
          <w:szCs w:val="24"/>
        </w:rPr>
        <w:t>60.00</w:t>
      </w:r>
      <w:r>
        <w:rPr>
          <w:rFonts w:hint="eastAsia" w:asciiTheme="minorEastAsia" w:hAnsiTheme="minorEastAsia" w:cstheme="minorEastAsia"/>
          <w:sz w:val="24"/>
          <w:szCs w:val="24"/>
        </w:rPr>
        <w:t>%，人均消费下降</w:t>
      </w:r>
      <w:r>
        <w:rPr>
          <w:rFonts w:asciiTheme="minorEastAsia" w:hAnsiTheme="minorEastAsia" w:cstheme="minorEastAsia"/>
          <w:sz w:val="24"/>
          <w:szCs w:val="24"/>
        </w:rPr>
        <w:t>2.41</w:t>
      </w:r>
      <w:r>
        <w:rPr>
          <w:rFonts w:hint="eastAsia" w:asciiTheme="minorEastAsia" w:hAnsiTheme="minorEastAsia" w:cstheme="minorEastAsia"/>
          <w:sz w:val="24"/>
          <w:szCs w:val="24"/>
        </w:rPr>
        <w:t>%。接待人次则上升了</w:t>
      </w:r>
      <w:r>
        <w:rPr>
          <w:rFonts w:asciiTheme="minorEastAsia" w:hAnsiTheme="minorEastAsia" w:cstheme="minorEastAsia"/>
          <w:sz w:val="24"/>
          <w:szCs w:val="24"/>
        </w:rPr>
        <w:t>371.34</w:t>
      </w:r>
      <w:r>
        <w:rPr>
          <w:rFonts w:hint="eastAsia" w:asciiTheme="minorEastAsia" w:hAnsiTheme="minorEastAsia" w:cstheme="minorEastAsia"/>
          <w:sz w:val="24"/>
          <w:szCs w:val="24"/>
        </w:rPr>
        <w:t>%。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——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清明假期第二天分析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cstheme="minorEastAsia"/>
          <w:sz w:val="24"/>
          <w:szCs w:val="24"/>
        </w:rPr>
        <w:t>假期第二天，全区接待游客人次较假期第一天有所上升，为</w:t>
      </w:r>
      <w:r>
        <w:rPr>
          <w:rFonts w:asciiTheme="minorEastAsia" w:hAnsiTheme="minorEastAsia" w:cstheme="minorEastAsia"/>
          <w:sz w:val="24"/>
          <w:szCs w:val="24"/>
        </w:rPr>
        <w:t>8.57</w:t>
      </w:r>
      <w:r>
        <w:rPr>
          <w:rFonts w:hint="eastAsia" w:asciiTheme="minorEastAsia" w:hAnsiTheme="minorEastAsia" w:cstheme="minorEastAsia"/>
          <w:sz w:val="24"/>
          <w:szCs w:val="24"/>
        </w:rPr>
        <w:t>万人次，实现旅游收入0.</w:t>
      </w:r>
      <w:r>
        <w:rPr>
          <w:rFonts w:asciiTheme="minorEastAsia" w:hAnsiTheme="minorEastAsia" w:cstheme="minorEastAsia"/>
          <w:sz w:val="24"/>
          <w:szCs w:val="24"/>
        </w:rPr>
        <w:t>21</w:t>
      </w:r>
      <w:r>
        <w:rPr>
          <w:rFonts w:hint="eastAsia" w:asciiTheme="minorEastAsia" w:hAnsiTheme="minorEastAsia" w:cstheme="minorEastAsia"/>
          <w:sz w:val="24"/>
          <w:szCs w:val="24"/>
        </w:rPr>
        <w:t>亿元，人均消费为24</w:t>
      </w:r>
      <w:r>
        <w:rPr>
          <w:rFonts w:asciiTheme="minorEastAsia" w:hAnsiTheme="minorEastAsia" w:cstheme="minorEastAsia"/>
          <w:sz w:val="24"/>
          <w:szCs w:val="24"/>
        </w:rPr>
        <w:t>5.04</w:t>
      </w:r>
      <w:r>
        <w:rPr>
          <w:rFonts w:hint="eastAsia" w:asciiTheme="minorEastAsia" w:hAnsiTheme="minorEastAsia" w:cstheme="minorEastAsia"/>
          <w:sz w:val="24"/>
          <w:szCs w:val="24"/>
        </w:rPr>
        <w:t>元。与去年同期相比，旅游收入同比上升</w:t>
      </w:r>
      <w:r>
        <w:rPr>
          <w:rFonts w:asciiTheme="minorEastAsia" w:hAnsiTheme="minorEastAsia" w:cstheme="minorEastAsia"/>
          <w:sz w:val="24"/>
          <w:szCs w:val="24"/>
        </w:rPr>
        <w:t>600.00</w:t>
      </w:r>
      <w:r>
        <w:rPr>
          <w:rFonts w:hint="eastAsia" w:asciiTheme="minorEastAsia" w:hAnsiTheme="minorEastAsia" w:cstheme="minorEastAsia"/>
          <w:sz w:val="24"/>
          <w:szCs w:val="24"/>
        </w:rPr>
        <w:t>%，人均消费下降</w:t>
      </w:r>
      <w:r>
        <w:rPr>
          <w:rFonts w:asciiTheme="minorEastAsia" w:hAnsiTheme="minorEastAsia" w:cstheme="minorEastAsia"/>
          <w:sz w:val="24"/>
          <w:szCs w:val="24"/>
        </w:rPr>
        <w:t>92.65</w:t>
      </w:r>
      <w:r>
        <w:rPr>
          <w:rFonts w:hint="eastAsia" w:asciiTheme="minorEastAsia" w:hAnsiTheme="minorEastAsia" w:cstheme="minorEastAsia"/>
          <w:sz w:val="24"/>
          <w:szCs w:val="24"/>
        </w:rPr>
        <w:t>%。接待人次则上升了</w:t>
      </w:r>
      <w:r>
        <w:rPr>
          <w:rFonts w:asciiTheme="minorEastAsia" w:hAnsiTheme="minorEastAsia" w:cstheme="minorEastAsia"/>
          <w:sz w:val="24"/>
          <w:szCs w:val="24"/>
        </w:rPr>
        <w:t>9422.22</w:t>
      </w:r>
      <w:r>
        <w:rPr>
          <w:rFonts w:hint="eastAsia" w:asciiTheme="minorEastAsia" w:hAnsiTheme="minorEastAsia" w:cstheme="minorEastAsia"/>
          <w:sz w:val="24"/>
          <w:szCs w:val="24"/>
        </w:rPr>
        <w:t>%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——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清明假期第三天分析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 w:cstheme="minorEastAsia"/>
          <w:sz w:val="24"/>
          <w:szCs w:val="24"/>
        </w:rPr>
        <w:t>假期第三天，旅游热度较假期第二天下降较大。当日接待人次为</w:t>
      </w:r>
      <w:r>
        <w:rPr>
          <w:rFonts w:asciiTheme="minorEastAsia" w:hAnsiTheme="minorEastAsia" w:cstheme="minorEastAsia"/>
          <w:sz w:val="24"/>
          <w:szCs w:val="24"/>
        </w:rPr>
        <w:t>4.65</w:t>
      </w:r>
      <w:r>
        <w:rPr>
          <w:rFonts w:hint="eastAsia" w:asciiTheme="minorEastAsia" w:hAnsiTheme="minorEastAsia" w:cstheme="minorEastAsia"/>
          <w:sz w:val="24"/>
          <w:szCs w:val="24"/>
        </w:rPr>
        <w:t>万人次，实现旅游收入0.</w:t>
      </w:r>
      <w:r>
        <w:rPr>
          <w:rFonts w:asciiTheme="minorEastAsia" w:hAnsiTheme="minorEastAsia" w:cstheme="minorEastAsia"/>
          <w:sz w:val="24"/>
          <w:szCs w:val="24"/>
        </w:rPr>
        <w:t>18</w:t>
      </w:r>
      <w:r>
        <w:rPr>
          <w:rFonts w:hint="eastAsia" w:asciiTheme="minorEastAsia" w:hAnsiTheme="minorEastAsia" w:cstheme="minorEastAsia"/>
          <w:sz w:val="24"/>
          <w:szCs w:val="24"/>
        </w:rPr>
        <w:t>亿元，人均消费为</w:t>
      </w:r>
      <w:r>
        <w:rPr>
          <w:rFonts w:asciiTheme="minorEastAsia" w:hAnsiTheme="minorEastAsia" w:cstheme="minorEastAsia"/>
          <w:sz w:val="24"/>
          <w:szCs w:val="24"/>
        </w:rPr>
        <w:t>387.1</w:t>
      </w:r>
      <w:r>
        <w:rPr>
          <w:rFonts w:hint="eastAsia" w:asciiTheme="minorEastAsia" w:hAnsiTheme="minorEastAsia" w:cstheme="minorEastAsia"/>
          <w:sz w:val="24"/>
          <w:szCs w:val="24"/>
        </w:rPr>
        <w:t>元。与去年同期相比，旅游收入同比上升</w:t>
      </w:r>
      <w:r>
        <w:rPr>
          <w:rFonts w:asciiTheme="minorEastAsia" w:hAnsiTheme="minorEastAsia" w:cstheme="minorEastAsia"/>
          <w:sz w:val="24"/>
          <w:szCs w:val="24"/>
        </w:rPr>
        <w:t>1700.00</w:t>
      </w:r>
      <w:r>
        <w:rPr>
          <w:rFonts w:hint="eastAsia" w:asciiTheme="minorEastAsia" w:hAnsiTheme="minorEastAsia" w:cstheme="minorEastAsia"/>
          <w:sz w:val="24"/>
          <w:szCs w:val="24"/>
        </w:rPr>
        <w:t>%，人均消费上升3</w:t>
      </w:r>
      <w:r>
        <w:rPr>
          <w:rFonts w:asciiTheme="minorEastAsia" w:hAnsiTheme="minorEastAsia" w:cstheme="minorEastAsia"/>
          <w:sz w:val="24"/>
          <w:szCs w:val="24"/>
        </w:rPr>
        <w:t>9.35</w:t>
      </w:r>
      <w:r>
        <w:rPr>
          <w:rFonts w:hint="eastAsia" w:asciiTheme="minorEastAsia" w:hAnsiTheme="minorEastAsia" w:cstheme="minorEastAsia"/>
          <w:sz w:val="24"/>
          <w:szCs w:val="24"/>
        </w:rPr>
        <w:t>%。接待人次则上升了</w:t>
      </w:r>
      <w:r>
        <w:rPr>
          <w:rFonts w:asciiTheme="minorEastAsia" w:hAnsiTheme="minorEastAsia" w:cstheme="minorEastAsia"/>
          <w:sz w:val="24"/>
          <w:szCs w:val="24"/>
        </w:rPr>
        <w:t>1191.67</w:t>
      </w:r>
      <w:r>
        <w:rPr>
          <w:rFonts w:hint="eastAsia" w:asciiTheme="minorEastAsia" w:hAnsiTheme="minorEastAsia" w:cstheme="minorEastAsia"/>
          <w:sz w:val="24"/>
          <w:szCs w:val="24"/>
        </w:rPr>
        <w:t>%</w:t>
      </w:r>
    </w:p>
    <w:p>
      <w:pPr>
        <w:numPr>
          <w:ilvl w:val="0"/>
          <w:numId w:val="1"/>
        </w:numPr>
        <w:spacing w:line="560" w:lineRule="exact"/>
        <w:ind w:firstLine="482" w:firstLineChars="200"/>
        <w:outlineLvl w:val="0"/>
        <w:rPr>
          <w:rFonts w:asciiTheme="minorEastAsia" w:hAnsiTheme="minorEastAsia" w:cstheme="minorEastAsia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清明假期大鹏新区各片区旅游市场情况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分片区看，所城旅游区接待游客</w:t>
      </w:r>
      <w:r>
        <w:rPr>
          <w:rFonts w:asciiTheme="minorEastAsia" w:hAnsiTheme="minorEastAsia" w:cstheme="minorEastAsia"/>
          <w:sz w:val="24"/>
          <w:szCs w:val="24"/>
        </w:rPr>
        <w:t>7.90</w:t>
      </w:r>
      <w:r>
        <w:rPr>
          <w:rFonts w:hint="eastAsia" w:asciiTheme="minorEastAsia" w:hAnsiTheme="minorEastAsia" w:cstheme="minorEastAsia"/>
          <w:sz w:val="24"/>
          <w:szCs w:val="24"/>
        </w:rPr>
        <w:t>万。杨梅坑片区、金沙湾片区和玫瑰海岸接待人数较去年有所增加，分别为</w:t>
      </w:r>
      <w:r>
        <w:rPr>
          <w:rFonts w:asciiTheme="minorEastAsia" w:hAnsiTheme="minorEastAsia" w:cstheme="minorEastAsia"/>
          <w:sz w:val="24"/>
          <w:szCs w:val="24"/>
        </w:rPr>
        <w:t>3.97</w:t>
      </w:r>
      <w:r>
        <w:rPr>
          <w:rFonts w:hint="eastAsia" w:asciiTheme="minorEastAsia" w:hAnsiTheme="minorEastAsia" w:cstheme="minorEastAsia"/>
          <w:sz w:val="24"/>
          <w:szCs w:val="24"/>
        </w:rPr>
        <w:t>万、1</w:t>
      </w:r>
      <w:r>
        <w:rPr>
          <w:rFonts w:asciiTheme="minorEastAsia" w:hAnsiTheme="minorEastAsia" w:cstheme="minorEastAsia"/>
          <w:sz w:val="24"/>
          <w:szCs w:val="24"/>
        </w:rPr>
        <w:t>.37</w:t>
      </w:r>
      <w:r>
        <w:rPr>
          <w:rFonts w:hint="eastAsia" w:asciiTheme="minorEastAsia" w:hAnsiTheme="minorEastAsia" w:cstheme="minorEastAsia"/>
          <w:sz w:val="24"/>
          <w:szCs w:val="24"/>
        </w:rPr>
        <w:t>万和6</w:t>
      </w:r>
      <w:r>
        <w:rPr>
          <w:rFonts w:asciiTheme="minorEastAsia" w:hAnsiTheme="minorEastAsia" w:cstheme="minorEastAsia"/>
          <w:sz w:val="24"/>
          <w:szCs w:val="24"/>
        </w:rPr>
        <w:t>.45</w:t>
      </w:r>
      <w:r>
        <w:rPr>
          <w:rFonts w:hint="eastAsia" w:asciiTheme="minorEastAsia" w:hAnsiTheme="minorEastAsia" w:cstheme="minorEastAsia"/>
          <w:sz w:val="24"/>
          <w:szCs w:val="24"/>
        </w:rPr>
        <w:t>万人次，同比增加3</w:t>
      </w:r>
      <w:r>
        <w:rPr>
          <w:rFonts w:asciiTheme="minorEastAsia" w:hAnsiTheme="minorEastAsia" w:cstheme="minorEastAsia"/>
          <w:sz w:val="24"/>
          <w:szCs w:val="24"/>
        </w:rPr>
        <w:t>81.71</w:t>
      </w:r>
      <w:r>
        <w:rPr>
          <w:rFonts w:hint="eastAsia" w:asciiTheme="minorEastAsia" w:hAnsiTheme="minorEastAsia" w:cstheme="minorEastAsia"/>
          <w:sz w:val="24"/>
          <w:szCs w:val="24"/>
        </w:rPr>
        <w:t>%、8</w:t>
      </w:r>
      <w:r>
        <w:rPr>
          <w:rFonts w:asciiTheme="minorEastAsia" w:hAnsiTheme="minorEastAsia" w:cstheme="minorEastAsia"/>
          <w:sz w:val="24"/>
          <w:szCs w:val="24"/>
        </w:rPr>
        <w:t>23.26</w:t>
      </w:r>
      <w:r>
        <w:rPr>
          <w:rFonts w:hint="eastAsia" w:asciiTheme="minorEastAsia" w:hAnsiTheme="minorEastAsia" w:cstheme="minorEastAsia"/>
          <w:sz w:val="24"/>
          <w:szCs w:val="24"/>
        </w:rPr>
        <w:t>%、1</w:t>
      </w:r>
      <w:r>
        <w:rPr>
          <w:rFonts w:asciiTheme="minorEastAsia" w:hAnsiTheme="minorEastAsia" w:cstheme="minorEastAsia"/>
          <w:sz w:val="24"/>
          <w:szCs w:val="24"/>
        </w:rPr>
        <w:t>422.22</w:t>
      </w:r>
      <w:r>
        <w:rPr>
          <w:rFonts w:hint="eastAsia" w:asciiTheme="minorEastAsia" w:hAnsiTheme="minorEastAsia" w:cstheme="minorEastAsia"/>
          <w:sz w:val="24"/>
          <w:szCs w:val="24"/>
        </w:rPr>
        <w:t>%和3</w:t>
      </w:r>
      <w:r>
        <w:rPr>
          <w:rFonts w:asciiTheme="minorEastAsia" w:hAnsiTheme="minorEastAsia" w:cstheme="minorEastAsia"/>
          <w:sz w:val="24"/>
          <w:szCs w:val="24"/>
        </w:rPr>
        <w:t>694.12</w:t>
      </w:r>
      <w:r>
        <w:rPr>
          <w:rFonts w:hint="eastAsia" w:asciiTheme="minorEastAsia" w:hAnsiTheme="minorEastAsia" w:cstheme="minorEastAsia"/>
          <w:sz w:val="24"/>
          <w:szCs w:val="24"/>
        </w:rPr>
        <w:t>%。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玫瑰海岸和南澳墟镇接待游客人次分别为</w:t>
      </w:r>
      <w:r>
        <w:rPr>
          <w:rFonts w:asciiTheme="minorEastAsia" w:hAnsiTheme="minorEastAsia" w:cstheme="minorEastAsia"/>
          <w:sz w:val="24"/>
          <w:szCs w:val="24"/>
        </w:rPr>
        <w:t>6.45</w:t>
      </w:r>
      <w:r>
        <w:rPr>
          <w:rFonts w:hint="eastAsia" w:asciiTheme="minorEastAsia" w:hAnsiTheme="minorEastAsia" w:cstheme="minorEastAsia"/>
          <w:sz w:val="24"/>
          <w:szCs w:val="24"/>
        </w:rPr>
        <w:t>万和</w:t>
      </w:r>
      <w:r>
        <w:rPr>
          <w:rFonts w:asciiTheme="minorEastAsia" w:hAnsiTheme="minorEastAsia" w:cstheme="minorEastAsia"/>
          <w:sz w:val="24"/>
          <w:szCs w:val="24"/>
        </w:rPr>
        <w:t>4.43</w:t>
      </w:r>
      <w:r>
        <w:rPr>
          <w:rFonts w:hint="eastAsia" w:asciiTheme="minorEastAsia" w:hAnsiTheme="minorEastAsia" w:cstheme="minorEastAsia"/>
          <w:sz w:val="24"/>
          <w:szCs w:val="24"/>
        </w:rPr>
        <w:t>万，排列第二、三位。杨梅坑、西涌、东涌、官湖和金沙湾等片区接待游客人次分别为3</w:t>
      </w:r>
      <w:r>
        <w:rPr>
          <w:rFonts w:asciiTheme="minorEastAsia" w:hAnsiTheme="minorEastAsia" w:cstheme="minorEastAsia"/>
          <w:sz w:val="24"/>
          <w:szCs w:val="24"/>
        </w:rPr>
        <w:t>.97</w:t>
      </w:r>
      <w:r>
        <w:rPr>
          <w:rFonts w:hint="eastAsia" w:asciiTheme="minorEastAsia" w:hAnsiTheme="minorEastAsia" w:cstheme="minorEastAsia"/>
          <w:sz w:val="24"/>
          <w:szCs w:val="24"/>
        </w:rPr>
        <w:t>万、3</w:t>
      </w:r>
      <w:r>
        <w:rPr>
          <w:rFonts w:asciiTheme="minorEastAsia" w:hAnsiTheme="minorEastAsia" w:cstheme="minorEastAsia"/>
          <w:sz w:val="24"/>
          <w:szCs w:val="24"/>
        </w:rPr>
        <w:t>.67</w:t>
      </w:r>
      <w:r>
        <w:rPr>
          <w:rFonts w:hint="eastAsia" w:asciiTheme="minorEastAsia" w:hAnsiTheme="minorEastAsia" w:cstheme="minorEastAsia"/>
          <w:sz w:val="24"/>
          <w:szCs w:val="24"/>
        </w:rPr>
        <w:t>万、2</w:t>
      </w:r>
      <w:r>
        <w:rPr>
          <w:rFonts w:asciiTheme="minorEastAsia" w:hAnsiTheme="minorEastAsia" w:cstheme="minorEastAsia"/>
          <w:sz w:val="24"/>
          <w:szCs w:val="24"/>
        </w:rPr>
        <w:t>.29</w:t>
      </w:r>
      <w:r>
        <w:rPr>
          <w:rFonts w:hint="eastAsia" w:asciiTheme="minorEastAsia" w:hAnsiTheme="minorEastAsia" w:cstheme="minorEastAsia"/>
          <w:sz w:val="24"/>
          <w:szCs w:val="24"/>
        </w:rPr>
        <w:t>万、1</w:t>
      </w:r>
      <w:r>
        <w:rPr>
          <w:rFonts w:asciiTheme="minorEastAsia" w:hAnsiTheme="minorEastAsia" w:cstheme="minorEastAsia"/>
          <w:sz w:val="24"/>
          <w:szCs w:val="24"/>
        </w:rPr>
        <w:t>.75</w:t>
      </w:r>
      <w:r>
        <w:rPr>
          <w:rFonts w:hint="eastAsia" w:asciiTheme="minorEastAsia" w:hAnsiTheme="minorEastAsia" w:cstheme="minorEastAsia"/>
          <w:sz w:val="24"/>
          <w:szCs w:val="24"/>
        </w:rPr>
        <w:t>万和1</w:t>
      </w:r>
      <w:r>
        <w:rPr>
          <w:rFonts w:asciiTheme="minorEastAsia" w:hAnsiTheme="minorEastAsia" w:cstheme="minorEastAsia"/>
          <w:sz w:val="24"/>
          <w:szCs w:val="24"/>
        </w:rPr>
        <w:t>.37</w:t>
      </w:r>
      <w:r>
        <w:rPr>
          <w:rFonts w:hint="eastAsia" w:asciiTheme="minorEastAsia" w:hAnsiTheme="minorEastAsia" w:cstheme="minorEastAsia"/>
          <w:sz w:val="24"/>
          <w:szCs w:val="24"/>
        </w:rPr>
        <w:t>万，排列第四、五、六、七、八位。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  <w:sz w:val="24"/>
          <w:szCs w:val="24"/>
        </w:rPr>
        <w:t>本报告主要通过对深圳市大鹏新区的旅游人口数据进行统计，从游客总人次、旅游收入、人均消费、游客性别比例、游客年龄层次、</w:t>
      </w:r>
      <w:r>
        <w:rPr>
          <w:rFonts w:hint="eastAsia" w:asciiTheme="minorEastAsia" w:hAnsiTheme="minorEastAsia" w:cstheme="minorEastAsia"/>
          <w:sz w:val="24"/>
          <w:szCs w:val="24"/>
        </w:rPr>
        <w:t>游客来源地、</w:t>
      </w:r>
      <w:r>
        <w:rPr>
          <w:rFonts w:hint="eastAsia"/>
          <w:sz w:val="24"/>
          <w:szCs w:val="24"/>
        </w:rPr>
        <w:t>热门景点片区等情况进行详细分析，以便于全面了解深圳市大鹏新区的旅游业发展状况，进而实现对大鹏新区旅游业的精细化管理。</w:t>
      </w:r>
    </w:p>
    <w:p>
      <w:pPr>
        <w:spacing w:line="560" w:lineRule="exact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附件一：</w:t>
      </w:r>
    </w:p>
    <w:p>
      <w:pPr>
        <w:pStyle w:val="7"/>
        <w:jc w:val="center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7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人流量统计数据</w:t>
      </w:r>
    </w:p>
    <w:p>
      <w:pPr>
        <w:pStyle w:val="7"/>
        <w:jc w:val="center"/>
      </w:pPr>
      <w:r>
        <w:drawing>
          <wp:inline distT="0" distB="0" distL="0" distR="0">
            <wp:extent cx="4719320" cy="3009900"/>
            <wp:effectExtent l="0" t="0" r="508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7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附件二：</w:t>
      </w:r>
    </w:p>
    <w:p>
      <w:pPr>
        <w:pStyle w:val="7"/>
        <w:jc w:val="center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主要统计指标数据 </w:t>
      </w:r>
    </w:p>
    <w:tbl>
      <w:tblPr>
        <w:tblStyle w:val="4"/>
        <w:tblW w:w="8059" w:type="dxa"/>
        <w:tblInd w:w="108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336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5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统计指标</w:t>
            </w:r>
          </w:p>
        </w:tc>
        <w:tc>
          <w:tcPr>
            <w:tcW w:w="3364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2021年清明假期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95" w:type="dxa"/>
            <w:tcBorders>
              <w:top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大鹏新区全区旅游接待人次（万人次）</w:t>
            </w:r>
          </w:p>
        </w:tc>
        <w:tc>
          <w:tcPr>
            <w:tcW w:w="3364" w:type="dxa"/>
            <w:tcBorders>
              <w:top w:val="single" w:color="auto" w:sz="12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20.95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所城旅游区接待人次（万人次）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7.90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东涌片区接待人次（万人次）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2.29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杨梅坑片区接待人次（万人次）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3.97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金沙湾片区接待人次（万人次）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1.37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西涌片区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接待人次（万人次）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3.6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玫瑰海岸片区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接待人次（万人次）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6.45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官湖片区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接待人次（万人次）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1.75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南澳墟镇片区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接待人次（万人次）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4.43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游客男性占比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5</w:t>
            </w:r>
            <w:r>
              <w:rPr>
                <w:rFonts w:asciiTheme="minorEastAsia" w:hAnsiTheme="minorEastAsia" w:cstheme="minorEastAsia"/>
                <w:sz w:val="22"/>
              </w:rPr>
              <w:t>4.98</w:t>
            </w:r>
            <w:r>
              <w:rPr>
                <w:rFonts w:hint="eastAsia" w:asciiTheme="minorEastAsia" w:hAnsiTheme="minorEastAsia" w:cstheme="minorEastAsia"/>
                <w:sz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游客女性占比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4</w:t>
            </w:r>
            <w:r>
              <w:rPr>
                <w:rFonts w:asciiTheme="minorEastAsia" w:hAnsiTheme="minorEastAsia" w:cstheme="minorEastAsia"/>
                <w:sz w:val="22"/>
              </w:rPr>
              <w:t>5.02</w:t>
            </w:r>
            <w:r>
              <w:rPr>
                <w:rFonts w:hint="eastAsia" w:asciiTheme="minorEastAsia" w:hAnsiTheme="minorEastAsia" w:cstheme="minorEastAsia"/>
                <w:sz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游客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少年（14岁以下）占比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0.0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游客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青年（15-24岁）占比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9.69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游客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壮年（25-44岁）占比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77.70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游客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中年（45-64岁）占比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11.55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游客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老年（65岁及以上）占比</w:t>
            </w:r>
          </w:p>
        </w:tc>
        <w:tc>
          <w:tcPr>
            <w:tcW w:w="3364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1.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  <w:t>00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旅游收入（亿元）：</w:t>
            </w:r>
          </w:p>
        </w:tc>
        <w:tc>
          <w:tcPr>
            <w:tcW w:w="3364" w:type="dxa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3.01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9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游客人均花费（元/天）</w:t>
            </w:r>
          </w:p>
        </w:tc>
        <w:tc>
          <w:tcPr>
            <w:tcW w:w="336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454.75</w:t>
            </w:r>
          </w:p>
        </w:tc>
      </w:tr>
    </w:tbl>
    <w:p>
      <w:pPr>
        <w:spacing w:line="560" w:lineRule="exact"/>
        <w:outlineLvl w:val="0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附件三：</w:t>
      </w:r>
    </w:p>
    <w:p>
      <w:pPr>
        <w:spacing w:line="560" w:lineRule="exact"/>
        <w:ind w:left="2940" w:firstLine="420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Cs w:val="21"/>
        </w:rPr>
        <w:t>游客来源地统计数据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drawing>
          <wp:inline distT="0" distB="0" distL="0" distR="0">
            <wp:extent cx="4937760" cy="3404235"/>
            <wp:effectExtent l="0" t="0" r="15240" b="571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/>
          <w:sz w:val="16"/>
          <w:szCs w:val="16"/>
        </w:rPr>
      </w:pPr>
      <w:r>
        <w:drawing>
          <wp:inline distT="0" distB="0" distL="0" distR="0">
            <wp:extent cx="4829175" cy="3228975"/>
            <wp:effectExtent l="0" t="0" r="9525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/>
          <w:sz w:val="16"/>
          <w:szCs w:val="16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560" w:lineRule="exact"/>
        <w:outlineLvl w:val="0"/>
        <w:rPr>
          <w:rFonts w:asciiTheme="minorEastAsia" w:hAnsiTheme="minorEastAsia" w:cstheme="minorEastAsia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附件四：</w:t>
      </w:r>
    </w:p>
    <w:p>
      <w:pPr>
        <w:spacing w:line="560" w:lineRule="exact"/>
        <w:ind w:left="2940" w:firstLine="420"/>
        <w:rPr>
          <w:rStyle w:val="6"/>
          <w:rFonts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Cs w:val="21"/>
        </w:rPr>
        <w:t>人均消费统计数据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color w:val="000000"/>
          <w:kern w:val="0"/>
          <w:sz w:val="27"/>
          <w:szCs w:val="27"/>
        </w:rPr>
      </w:pPr>
      <w:r>
        <w:drawing>
          <wp:inline distT="0" distB="0" distL="0" distR="0">
            <wp:extent cx="4752975" cy="3368040"/>
            <wp:effectExtent l="0" t="0" r="9525" b="381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right"/>
        <w:outlineLvl w:val="0"/>
        <w:rPr>
          <w:rFonts w:asciiTheme="minorEastAsia" w:hAnsiTheme="minorEastAsia" w:cstheme="minorEastAsia"/>
          <w:color w:val="000000"/>
          <w:kern w:val="0"/>
          <w:sz w:val="27"/>
          <w:szCs w:val="27"/>
        </w:rPr>
      </w:pPr>
      <w:r>
        <w:rPr>
          <w:rFonts w:hint="eastAsia" w:asciiTheme="minorEastAsia" w:hAnsiTheme="minorEastAsia" w:cstheme="minorEastAsia"/>
          <w:color w:val="000000"/>
          <w:kern w:val="0"/>
          <w:sz w:val="27"/>
          <w:szCs w:val="27"/>
        </w:rPr>
        <w:t>大鹏新区文化广电旅游体育局</w:t>
      </w:r>
    </w:p>
    <w:p>
      <w:pPr>
        <w:widowControl/>
        <w:spacing w:before="100" w:beforeAutospacing="1" w:after="100" w:afterAutospacing="1"/>
        <w:jc w:val="right"/>
        <w:outlineLvl w:val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kern w:val="0"/>
          <w:sz w:val="27"/>
          <w:szCs w:val="27"/>
        </w:rPr>
        <w:t>2021年</w:t>
      </w:r>
      <w:r>
        <w:rPr>
          <w:rFonts w:asciiTheme="minorEastAsia" w:hAnsiTheme="minorEastAsia" w:cstheme="minorEastAsia"/>
          <w:color w:val="000000"/>
          <w:kern w:val="0"/>
          <w:sz w:val="27"/>
          <w:szCs w:val="27"/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7"/>
          <w:szCs w:val="27"/>
        </w:rPr>
        <w:t>月</w:t>
      </w:r>
      <w:r>
        <w:rPr>
          <w:rFonts w:asciiTheme="minorEastAsia" w:hAnsiTheme="minorEastAsia" w:cstheme="minorEastAsia"/>
          <w:color w:val="000000"/>
          <w:kern w:val="0"/>
          <w:sz w:val="27"/>
          <w:szCs w:val="27"/>
        </w:rPr>
        <w:t>6</w:t>
      </w:r>
      <w:r>
        <w:rPr>
          <w:rFonts w:hint="eastAsia" w:asciiTheme="minorEastAsia" w:hAnsiTheme="minorEastAsia" w:cstheme="minorEastAsia"/>
          <w:color w:val="000000"/>
          <w:kern w:val="0"/>
          <w:sz w:val="27"/>
          <w:szCs w:val="27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8C89E"/>
    <w:multiLevelType w:val="singleLevel"/>
    <w:tmpl w:val="65D8C8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05"/>
    <w:rsid w:val="00056DC3"/>
    <w:rsid w:val="000842A1"/>
    <w:rsid w:val="000B6AB6"/>
    <w:rsid w:val="000C6FE4"/>
    <w:rsid w:val="000D3A0C"/>
    <w:rsid w:val="001044FF"/>
    <w:rsid w:val="00107BB8"/>
    <w:rsid w:val="00122C3D"/>
    <w:rsid w:val="00147638"/>
    <w:rsid w:val="00172A27"/>
    <w:rsid w:val="00173C69"/>
    <w:rsid w:val="001D7F9D"/>
    <w:rsid w:val="002060A0"/>
    <w:rsid w:val="00207054"/>
    <w:rsid w:val="00222D50"/>
    <w:rsid w:val="00227AF8"/>
    <w:rsid w:val="00291587"/>
    <w:rsid w:val="002B6C7C"/>
    <w:rsid w:val="002D78F7"/>
    <w:rsid w:val="002F0F39"/>
    <w:rsid w:val="00324D75"/>
    <w:rsid w:val="003318C7"/>
    <w:rsid w:val="00377B3F"/>
    <w:rsid w:val="00385832"/>
    <w:rsid w:val="003900EA"/>
    <w:rsid w:val="003D6E55"/>
    <w:rsid w:val="003E3458"/>
    <w:rsid w:val="003F6CB7"/>
    <w:rsid w:val="00427371"/>
    <w:rsid w:val="0044385A"/>
    <w:rsid w:val="00472BD3"/>
    <w:rsid w:val="00484CD6"/>
    <w:rsid w:val="004A11EC"/>
    <w:rsid w:val="004A37C8"/>
    <w:rsid w:val="004B41F0"/>
    <w:rsid w:val="004B5AB0"/>
    <w:rsid w:val="004D1BBF"/>
    <w:rsid w:val="004E4AE6"/>
    <w:rsid w:val="00505F9B"/>
    <w:rsid w:val="00537321"/>
    <w:rsid w:val="00564FAD"/>
    <w:rsid w:val="005832CA"/>
    <w:rsid w:val="00593115"/>
    <w:rsid w:val="005A15AF"/>
    <w:rsid w:val="005A4749"/>
    <w:rsid w:val="005B5F92"/>
    <w:rsid w:val="005C5314"/>
    <w:rsid w:val="005F7EC3"/>
    <w:rsid w:val="00605D54"/>
    <w:rsid w:val="006061E7"/>
    <w:rsid w:val="006312A8"/>
    <w:rsid w:val="006318A5"/>
    <w:rsid w:val="00664B72"/>
    <w:rsid w:val="00686AC7"/>
    <w:rsid w:val="006A2393"/>
    <w:rsid w:val="006A2E85"/>
    <w:rsid w:val="006A6250"/>
    <w:rsid w:val="007141E2"/>
    <w:rsid w:val="00744A42"/>
    <w:rsid w:val="00767AE1"/>
    <w:rsid w:val="00777F52"/>
    <w:rsid w:val="007901AB"/>
    <w:rsid w:val="007C3C38"/>
    <w:rsid w:val="007C4525"/>
    <w:rsid w:val="007C71F6"/>
    <w:rsid w:val="007E0FC8"/>
    <w:rsid w:val="00807E11"/>
    <w:rsid w:val="008149CA"/>
    <w:rsid w:val="00865351"/>
    <w:rsid w:val="00865520"/>
    <w:rsid w:val="008B2093"/>
    <w:rsid w:val="008B36BB"/>
    <w:rsid w:val="008D7347"/>
    <w:rsid w:val="00904567"/>
    <w:rsid w:val="00904E44"/>
    <w:rsid w:val="00980FD9"/>
    <w:rsid w:val="00987E02"/>
    <w:rsid w:val="00990A27"/>
    <w:rsid w:val="009940DE"/>
    <w:rsid w:val="009B037B"/>
    <w:rsid w:val="009B5197"/>
    <w:rsid w:val="00A308D6"/>
    <w:rsid w:val="00A309AF"/>
    <w:rsid w:val="00A41169"/>
    <w:rsid w:val="00A41E2F"/>
    <w:rsid w:val="00AC1425"/>
    <w:rsid w:val="00AC4595"/>
    <w:rsid w:val="00AD3620"/>
    <w:rsid w:val="00AF34F5"/>
    <w:rsid w:val="00B03B5B"/>
    <w:rsid w:val="00B10B62"/>
    <w:rsid w:val="00B17D65"/>
    <w:rsid w:val="00B56372"/>
    <w:rsid w:val="00B568B0"/>
    <w:rsid w:val="00B60C91"/>
    <w:rsid w:val="00BE18B9"/>
    <w:rsid w:val="00BE2CE6"/>
    <w:rsid w:val="00BE46B2"/>
    <w:rsid w:val="00BF6D2A"/>
    <w:rsid w:val="00C4379B"/>
    <w:rsid w:val="00C47E61"/>
    <w:rsid w:val="00C5150E"/>
    <w:rsid w:val="00C6042F"/>
    <w:rsid w:val="00CC1D28"/>
    <w:rsid w:val="00CE694F"/>
    <w:rsid w:val="00D002B1"/>
    <w:rsid w:val="00D04A9C"/>
    <w:rsid w:val="00D33B99"/>
    <w:rsid w:val="00DC1FAB"/>
    <w:rsid w:val="00DC3BEF"/>
    <w:rsid w:val="00DE4D4C"/>
    <w:rsid w:val="00E2347A"/>
    <w:rsid w:val="00E50593"/>
    <w:rsid w:val="00E56452"/>
    <w:rsid w:val="00E5786C"/>
    <w:rsid w:val="00E7098B"/>
    <w:rsid w:val="00EE0DBC"/>
    <w:rsid w:val="00EE261B"/>
    <w:rsid w:val="00F30F88"/>
    <w:rsid w:val="00F33BBD"/>
    <w:rsid w:val="00F44CFA"/>
    <w:rsid w:val="00F62E53"/>
    <w:rsid w:val="00FD7827"/>
    <w:rsid w:val="013B0108"/>
    <w:rsid w:val="01511188"/>
    <w:rsid w:val="01542D22"/>
    <w:rsid w:val="017C0E02"/>
    <w:rsid w:val="01FD693E"/>
    <w:rsid w:val="020C46E4"/>
    <w:rsid w:val="02776FEB"/>
    <w:rsid w:val="027E3498"/>
    <w:rsid w:val="02F40BFC"/>
    <w:rsid w:val="031D4EB1"/>
    <w:rsid w:val="036011F9"/>
    <w:rsid w:val="03644DE6"/>
    <w:rsid w:val="05236E70"/>
    <w:rsid w:val="05663A64"/>
    <w:rsid w:val="058A0E83"/>
    <w:rsid w:val="05BE19A7"/>
    <w:rsid w:val="05F51FBD"/>
    <w:rsid w:val="06A21688"/>
    <w:rsid w:val="06BE7531"/>
    <w:rsid w:val="06D45DC8"/>
    <w:rsid w:val="070254FD"/>
    <w:rsid w:val="072722BE"/>
    <w:rsid w:val="07355D3C"/>
    <w:rsid w:val="07671FFF"/>
    <w:rsid w:val="079C5A03"/>
    <w:rsid w:val="07EE6232"/>
    <w:rsid w:val="08151F45"/>
    <w:rsid w:val="083E2FD6"/>
    <w:rsid w:val="08442DA2"/>
    <w:rsid w:val="09F6314E"/>
    <w:rsid w:val="0A32291F"/>
    <w:rsid w:val="0BA21BA1"/>
    <w:rsid w:val="0BFE6239"/>
    <w:rsid w:val="0C226506"/>
    <w:rsid w:val="0C387DCF"/>
    <w:rsid w:val="0C434E5B"/>
    <w:rsid w:val="0CA31F2F"/>
    <w:rsid w:val="0D4F6B61"/>
    <w:rsid w:val="0D6C2EB0"/>
    <w:rsid w:val="0EB7796B"/>
    <w:rsid w:val="0EFD64ED"/>
    <w:rsid w:val="0F1260E8"/>
    <w:rsid w:val="0FEC435A"/>
    <w:rsid w:val="1071708E"/>
    <w:rsid w:val="11166F2C"/>
    <w:rsid w:val="11670E44"/>
    <w:rsid w:val="125941F4"/>
    <w:rsid w:val="12833F49"/>
    <w:rsid w:val="12FA1A8E"/>
    <w:rsid w:val="131C01E9"/>
    <w:rsid w:val="146B1BB0"/>
    <w:rsid w:val="146E4910"/>
    <w:rsid w:val="149D5333"/>
    <w:rsid w:val="155D0E10"/>
    <w:rsid w:val="15C40C9E"/>
    <w:rsid w:val="176B55F1"/>
    <w:rsid w:val="184A68ED"/>
    <w:rsid w:val="18556B3F"/>
    <w:rsid w:val="1AF754C2"/>
    <w:rsid w:val="1B9E1064"/>
    <w:rsid w:val="1CB73615"/>
    <w:rsid w:val="1E3D5ACC"/>
    <w:rsid w:val="1EAD48C7"/>
    <w:rsid w:val="1F561AF3"/>
    <w:rsid w:val="1F771C85"/>
    <w:rsid w:val="1F8C08AF"/>
    <w:rsid w:val="1FC21345"/>
    <w:rsid w:val="207E4A6F"/>
    <w:rsid w:val="20BC4EFF"/>
    <w:rsid w:val="215F4F08"/>
    <w:rsid w:val="217C2874"/>
    <w:rsid w:val="218B6E5D"/>
    <w:rsid w:val="22890F3E"/>
    <w:rsid w:val="22B12A7C"/>
    <w:rsid w:val="23636739"/>
    <w:rsid w:val="243941B8"/>
    <w:rsid w:val="245A0C36"/>
    <w:rsid w:val="24905902"/>
    <w:rsid w:val="24A622DB"/>
    <w:rsid w:val="256B7A22"/>
    <w:rsid w:val="25877A56"/>
    <w:rsid w:val="25C30824"/>
    <w:rsid w:val="266D75DF"/>
    <w:rsid w:val="26B9638D"/>
    <w:rsid w:val="275F5366"/>
    <w:rsid w:val="27E502DB"/>
    <w:rsid w:val="27EB28F0"/>
    <w:rsid w:val="291A151A"/>
    <w:rsid w:val="29C5350C"/>
    <w:rsid w:val="2A473E3B"/>
    <w:rsid w:val="2AC543D8"/>
    <w:rsid w:val="2B1E2B7B"/>
    <w:rsid w:val="2D2654BA"/>
    <w:rsid w:val="2EC255E0"/>
    <w:rsid w:val="2F560E0C"/>
    <w:rsid w:val="2F7E3E95"/>
    <w:rsid w:val="2F973E5D"/>
    <w:rsid w:val="304A0002"/>
    <w:rsid w:val="30DB5558"/>
    <w:rsid w:val="30ED180B"/>
    <w:rsid w:val="33DA5544"/>
    <w:rsid w:val="34B42244"/>
    <w:rsid w:val="34DE407B"/>
    <w:rsid w:val="355659CE"/>
    <w:rsid w:val="36476C3B"/>
    <w:rsid w:val="3651767F"/>
    <w:rsid w:val="36D430E9"/>
    <w:rsid w:val="36EC04F8"/>
    <w:rsid w:val="370025BA"/>
    <w:rsid w:val="376151CF"/>
    <w:rsid w:val="37B74ADC"/>
    <w:rsid w:val="37FB1B3C"/>
    <w:rsid w:val="385B7CDC"/>
    <w:rsid w:val="38821B36"/>
    <w:rsid w:val="38D45479"/>
    <w:rsid w:val="3A5C7079"/>
    <w:rsid w:val="3B0D5B34"/>
    <w:rsid w:val="3B2E4C4B"/>
    <w:rsid w:val="3B4130F4"/>
    <w:rsid w:val="3B425990"/>
    <w:rsid w:val="3BE8446B"/>
    <w:rsid w:val="3C9064C1"/>
    <w:rsid w:val="3D6C543B"/>
    <w:rsid w:val="3DD527E7"/>
    <w:rsid w:val="3DD7049C"/>
    <w:rsid w:val="3DFE39DB"/>
    <w:rsid w:val="3E046E90"/>
    <w:rsid w:val="3E305B1A"/>
    <w:rsid w:val="3E3D4290"/>
    <w:rsid w:val="3E5754C0"/>
    <w:rsid w:val="3F1D3E6E"/>
    <w:rsid w:val="40E51FD5"/>
    <w:rsid w:val="40F21218"/>
    <w:rsid w:val="411E3C0B"/>
    <w:rsid w:val="42224313"/>
    <w:rsid w:val="42AC011E"/>
    <w:rsid w:val="43016F44"/>
    <w:rsid w:val="430E584B"/>
    <w:rsid w:val="43795C88"/>
    <w:rsid w:val="446E6D8B"/>
    <w:rsid w:val="45CC071A"/>
    <w:rsid w:val="469353F9"/>
    <w:rsid w:val="489D065D"/>
    <w:rsid w:val="48CE7EFE"/>
    <w:rsid w:val="48DA5781"/>
    <w:rsid w:val="490809C0"/>
    <w:rsid w:val="4954630B"/>
    <w:rsid w:val="49C76D6D"/>
    <w:rsid w:val="4AFF1156"/>
    <w:rsid w:val="4B174B78"/>
    <w:rsid w:val="4B8563E6"/>
    <w:rsid w:val="4C2F61E0"/>
    <w:rsid w:val="4C613371"/>
    <w:rsid w:val="4C886C69"/>
    <w:rsid w:val="4CA03CCE"/>
    <w:rsid w:val="4CA2655F"/>
    <w:rsid w:val="4CA51DA9"/>
    <w:rsid w:val="4D035E1C"/>
    <w:rsid w:val="4DD8068B"/>
    <w:rsid w:val="4E3513FB"/>
    <w:rsid w:val="4E5F5F5A"/>
    <w:rsid w:val="4ECE6BE6"/>
    <w:rsid w:val="4ED02626"/>
    <w:rsid w:val="4F1136F9"/>
    <w:rsid w:val="4F257BBF"/>
    <w:rsid w:val="4F7E5FA2"/>
    <w:rsid w:val="4FC6073D"/>
    <w:rsid w:val="50FB00F1"/>
    <w:rsid w:val="51427C67"/>
    <w:rsid w:val="51814171"/>
    <w:rsid w:val="51A54F9D"/>
    <w:rsid w:val="51E931BB"/>
    <w:rsid w:val="523E2AB7"/>
    <w:rsid w:val="529F6175"/>
    <w:rsid w:val="537C3CCF"/>
    <w:rsid w:val="53B32181"/>
    <w:rsid w:val="53BB41A7"/>
    <w:rsid w:val="54447AD9"/>
    <w:rsid w:val="568F52E9"/>
    <w:rsid w:val="56F42903"/>
    <w:rsid w:val="57780294"/>
    <w:rsid w:val="579937E4"/>
    <w:rsid w:val="585B6799"/>
    <w:rsid w:val="58972F00"/>
    <w:rsid w:val="58B6669A"/>
    <w:rsid w:val="58C84889"/>
    <w:rsid w:val="58DE00C2"/>
    <w:rsid w:val="59303AD6"/>
    <w:rsid w:val="593841D4"/>
    <w:rsid w:val="59A805D7"/>
    <w:rsid w:val="59F01C72"/>
    <w:rsid w:val="59F67BEB"/>
    <w:rsid w:val="5A1540DC"/>
    <w:rsid w:val="5A292C15"/>
    <w:rsid w:val="5AB730F4"/>
    <w:rsid w:val="5B2F6059"/>
    <w:rsid w:val="5B575827"/>
    <w:rsid w:val="5BFC41B5"/>
    <w:rsid w:val="5C535F73"/>
    <w:rsid w:val="5CD13086"/>
    <w:rsid w:val="5D706935"/>
    <w:rsid w:val="5DB82E4E"/>
    <w:rsid w:val="5DED228C"/>
    <w:rsid w:val="5E686AA7"/>
    <w:rsid w:val="5E956567"/>
    <w:rsid w:val="5E991F13"/>
    <w:rsid w:val="5ED70938"/>
    <w:rsid w:val="5FF14F87"/>
    <w:rsid w:val="608E036D"/>
    <w:rsid w:val="61450200"/>
    <w:rsid w:val="61B1057C"/>
    <w:rsid w:val="61C10BF4"/>
    <w:rsid w:val="6213244D"/>
    <w:rsid w:val="642B2D50"/>
    <w:rsid w:val="64566C5A"/>
    <w:rsid w:val="64C715A4"/>
    <w:rsid w:val="65184E0C"/>
    <w:rsid w:val="653F22E4"/>
    <w:rsid w:val="65503BDC"/>
    <w:rsid w:val="65AD0609"/>
    <w:rsid w:val="660C57F4"/>
    <w:rsid w:val="66955EFA"/>
    <w:rsid w:val="66A55093"/>
    <w:rsid w:val="66F60EE4"/>
    <w:rsid w:val="675B0A9C"/>
    <w:rsid w:val="67F42375"/>
    <w:rsid w:val="684A6A8B"/>
    <w:rsid w:val="691957CD"/>
    <w:rsid w:val="69B21BFE"/>
    <w:rsid w:val="6A7956F1"/>
    <w:rsid w:val="6B3778FC"/>
    <w:rsid w:val="6B6857FD"/>
    <w:rsid w:val="6BCB2981"/>
    <w:rsid w:val="6C4064F8"/>
    <w:rsid w:val="6C9B3A32"/>
    <w:rsid w:val="6D030D9B"/>
    <w:rsid w:val="6DC14165"/>
    <w:rsid w:val="6DCD613D"/>
    <w:rsid w:val="6E0F39BE"/>
    <w:rsid w:val="6E284AB9"/>
    <w:rsid w:val="6E4469FD"/>
    <w:rsid w:val="6E47507A"/>
    <w:rsid w:val="6E5E76FD"/>
    <w:rsid w:val="6F9E1B71"/>
    <w:rsid w:val="71811503"/>
    <w:rsid w:val="720E59CB"/>
    <w:rsid w:val="722F477A"/>
    <w:rsid w:val="726508A4"/>
    <w:rsid w:val="727A16C0"/>
    <w:rsid w:val="73AF37E4"/>
    <w:rsid w:val="75CD75B6"/>
    <w:rsid w:val="75D27EF2"/>
    <w:rsid w:val="75FA6043"/>
    <w:rsid w:val="771512E8"/>
    <w:rsid w:val="780539E9"/>
    <w:rsid w:val="785F5E8A"/>
    <w:rsid w:val="78EE6FF0"/>
    <w:rsid w:val="7955585A"/>
    <w:rsid w:val="798B6DA5"/>
    <w:rsid w:val="79983875"/>
    <w:rsid w:val="79A22259"/>
    <w:rsid w:val="79C97C2B"/>
    <w:rsid w:val="7A0D45C7"/>
    <w:rsid w:val="7A213330"/>
    <w:rsid w:val="7AD97FF1"/>
    <w:rsid w:val="7B2E1B68"/>
    <w:rsid w:val="7BA00D58"/>
    <w:rsid w:val="7C344EBB"/>
    <w:rsid w:val="7C455762"/>
    <w:rsid w:val="7D4B017D"/>
    <w:rsid w:val="7D826DBE"/>
    <w:rsid w:val="7DBC140D"/>
    <w:rsid w:val="7E120A1A"/>
    <w:rsid w:val="7E9479F3"/>
    <w:rsid w:val="7F1D37E8"/>
    <w:rsid w:val="7F496414"/>
    <w:rsid w:val="7F576492"/>
    <w:rsid w:val="7F782AF0"/>
    <w:rsid w:val="7FD87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30"/>
      <w:szCs w:val="22"/>
      <w:lang w:val="en-US" w:eastAsia="zh-CN" w:bidi="ar-SA"/>
    </w:rPr>
  </w:style>
  <w:style w:type="character" w:customStyle="1" w:styleId="8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报告正文"/>
    <w:basedOn w:val="1"/>
    <w:qFormat/>
    <w:uiPriority w:val="0"/>
    <w:pPr>
      <w:ind w:firstLine="560" w:firstLineChars="200"/>
    </w:pPr>
    <w:rPr>
      <w:rFonts w:ascii="仿宋_GB2312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Hyeah\Desktop\&#28165;&#26126;&#20551;&#26399;&#25552;&#25968;&#25991;&#26723;\&#28165;&#26126;&#20551;&#26399;&#25552;&#25968;&#25991;&#26723;\&#28165;&#26126;&#20551;&#26399;&#25552;&#25968;&#25991;&#26723;\&#26053;&#28216;&#25968;&#25454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Hyeah\Desktop\&#28165;&#26126;&#20551;&#26399;&#25552;&#25968;&#25991;&#26723;\&#28165;&#26126;&#20551;&#26399;&#25552;&#25968;&#25991;&#26723;\&#28165;&#26126;&#20551;&#26399;&#25552;&#25968;&#25991;&#26723;\&#26053;&#28216;&#25968;&#25454;&#22270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Hyeah\Desktop\&#28165;&#26126;&#20551;&#26399;&#25552;&#25968;&#25991;&#26723;\&#28165;&#26126;&#20551;&#26399;&#25552;&#25968;&#25991;&#26723;\&#28165;&#26126;&#20551;&#26399;&#25552;&#25968;&#25991;&#26723;\&#26053;&#28216;&#25968;&#25454;&#22270;&#3492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Hyeah\Desktop\&#28165;&#26126;&#20551;&#26399;&#25552;&#25968;&#25991;&#26723;\&#28165;&#26126;&#20551;&#26399;&#25552;&#25968;&#25991;&#26723;\&#28165;&#26126;&#20551;&#26399;&#25552;&#25968;&#25991;&#26723;\&#26053;&#28216;&#25968;&#25454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Sheet1!$B$3:$B$9</c:f>
              <c:numCache>
                <c:formatCode>m"月"d"日"</c:formatCode>
                <c:ptCount val="7"/>
                <c:pt idx="0" c:formatCode="m&quot;月&quot;d&quot;日&quot;">
                  <c:v>44289</c:v>
                </c:pt>
                <c:pt idx="1" c:formatCode="m&quot;月&quot;d&quot;日&quot;">
                  <c:v>44290</c:v>
                </c:pt>
                <c:pt idx="2" c:formatCode="m&quot;月&quot;d&quot;日&quot;">
                  <c:v>44291</c:v>
                </c:pt>
              </c:numCache>
            </c:numRef>
          </c:cat>
          <c:val>
            <c:numRef>
              <c:f>Sheet1!$C$3:$C$9</c:f>
              <c:numCache>
                <c:formatCode>General</c:formatCode>
                <c:ptCount val="7"/>
                <c:pt idx="0">
                  <c:v>7.73</c:v>
                </c:pt>
                <c:pt idx="1">
                  <c:v>8.57</c:v>
                </c:pt>
                <c:pt idx="2">
                  <c:v>4.65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61590325"/>
        <c:axId val="142895805"/>
      </c:lineChart>
      <c:dateAx>
        <c:axId val="461590325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日期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471708333333333"/>
              <c:y val="0.87708333333333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m&quot;月&quot;d&quot;日&quot;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895805"/>
        <c:crosses val="autoZero"/>
        <c:auto val="1"/>
        <c:lblOffset val="100"/>
        <c:baseTimeUnit val="days"/>
      </c:dateAx>
      <c:valAx>
        <c:axId val="14289580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万人次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59032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大鹏新区游客省内来源地</a:t>
            </a:r>
            <a:r>
              <a:rPr lang="en-US"/>
              <a:t>TOP10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Sheet1!$C$178:$C$187</c:f>
              <c:strCache>
                <c:ptCount val="10"/>
                <c:pt idx="0">
                  <c:v>深圳</c:v>
                </c:pt>
                <c:pt idx="1">
                  <c:v>广州</c:v>
                </c:pt>
                <c:pt idx="2">
                  <c:v>东莞</c:v>
                </c:pt>
                <c:pt idx="3">
                  <c:v>惠州</c:v>
                </c:pt>
                <c:pt idx="4">
                  <c:v>梅州</c:v>
                </c:pt>
                <c:pt idx="5">
                  <c:v>佛山</c:v>
                </c:pt>
                <c:pt idx="6">
                  <c:v>茂名</c:v>
                </c:pt>
                <c:pt idx="7">
                  <c:v>湛江</c:v>
                </c:pt>
                <c:pt idx="8">
                  <c:v>河源</c:v>
                </c:pt>
                <c:pt idx="9">
                  <c:v>中山</c:v>
                </c:pt>
              </c:strCache>
            </c:strRef>
          </c:cat>
          <c:val>
            <c:numRef>
              <c:f>Sheet1!$D$178:$D$187</c:f>
              <c:numCache>
                <c:formatCode>0.00%</c:formatCode>
                <c:ptCount val="10"/>
                <c:pt idx="0">
                  <c:v>0.6763</c:v>
                </c:pt>
                <c:pt idx="1">
                  <c:v>0.094</c:v>
                </c:pt>
                <c:pt idx="2">
                  <c:v>0.0778</c:v>
                </c:pt>
                <c:pt idx="3">
                  <c:v>0.0274</c:v>
                </c:pt>
                <c:pt idx="4">
                  <c:v>0.0181</c:v>
                </c:pt>
                <c:pt idx="5">
                  <c:v>0.0157</c:v>
                </c:pt>
                <c:pt idx="6">
                  <c:v>0.0121</c:v>
                </c:pt>
                <c:pt idx="7">
                  <c:v>0.0106</c:v>
                </c:pt>
                <c:pt idx="8">
                  <c:v>0.0098</c:v>
                </c:pt>
                <c:pt idx="9">
                  <c:v>0.0091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2241881"/>
        <c:axId val="953796608"/>
      </c:barChart>
      <c:catAx>
        <c:axId val="332241881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占省内游客占比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454277777777778"/>
              <c:y val="0.9013888888888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3796608"/>
        <c:crosses val="autoZero"/>
        <c:auto val="1"/>
        <c:lblAlgn val="ctr"/>
        <c:lblOffset val="100"/>
        <c:noMultiLvlLbl val="0"/>
      </c:catAx>
      <c:valAx>
        <c:axId val="95379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224188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大鹏新区游客省外来源地</a:t>
            </a:r>
            <a:r>
              <a:rPr lang="en-US"/>
              <a:t>TOP1</a:t>
            </a:r>
            <a:r>
              <a:rPr lang="en-US" altLang="zh-CN"/>
              <a:t>0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Sheet1!$C$196:$C$205</c:f>
              <c:strCache>
                <c:ptCount val="10"/>
                <c:pt idx="0">
                  <c:v>广东</c:v>
                </c:pt>
                <c:pt idx="1">
                  <c:v>湖南</c:v>
                </c:pt>
                <c:pt idx="2">
                  <c:v>江西</c:v>
                </c:pt>
                <c:pt idx="3">
                  <c:v>湖北</c:v>
                </c:pt>
                <c:pt idx="4">
                  <c:v>广西</c:v>
                </c:pt>
                <c:pt idx="5">
                  <c:v>河南</c:v>
                </c:pt>
                <c:pt idx="6">
                  <c:v>四川</c:v>
                </c:pt>
                <c:pt idx="7">
                  <c:v>贵州</c:v>
                </c:pt>
                <c:pt idx="8">
                  <c:v>上海</c:v>
                </c:pt>
                <c:pt idx="9">
                  <c:v>北京</c:v>
                </c:pt>
              </c:strCache>
            </c:strRef>
          </c:cat>
          <c:val>
            <c:numRef>
              <c:f>Sheet1!$D$196:$D$205</c:f>
              <c:numCache>
                <c:formatCode>0.00%</c:formatCode>
                <c:ptCount val="10"/>
                <c:pt idx="0">
                  <c:v>0.6563</c:v>
                </c:pt>
                <c:pt idx="1">
                  <c:v>0.033</c:v>
                </c:pt>
                <c:pt idx="2">
                  <c:v>0.0234</c:v>
                </c:pt>
                <c:pt idx="3">
                  <c:v>0.023</c:v>
                </c:pt>
                <c:pt idx="4">
                  <c:v>0.02</c:v>
                </c:pt>
                <c:pt idx="5">
                  <c:v>0.0169</c:v>
                </c:pt>
                <c:pt idx="6">
                  <c:v>0.0166</c:v>
                </c:pt>
                <c:pt idx="7">
                  <c:v>0.0125</c:v>
                </c:pt>
                <c:pt idx="8">
                  <c:v>0.0113</c:v>
                </c:pt>
                <c:pt idx="9">
                  <c:v>0.0096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956820643"/>
        <c:axId val="555506561"/>
      </c:barChart>
      <c:catAx>
        <c:axId val="956820643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占国内游客占比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5506561"/>
        <c:crosses val="autoZero"/>
        <c:auto val="1"/>
        <c:lblAlgn val="ctr"/>
        <c:lblOffset val="100"/>
        <c:noMultiLvlLbl val="0"/>
      </c:catAx>
      <c:valAx>
        <c:axId val="555506561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68206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清明假期各天人均消费（元）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Sheet1!$C$218:$C$225</c:f>
              <c:numCache>
                <c:formatCode>m"月"d"日"</c:formatCode>
                <c:ptCount val="8"/>
                <c:pt idx="0" c:formatCode="m&quot;月&quot;d&quot;日&quot;">
                  <c:v>94</c:v>
                </c:pt>
                <c:pt idx="1" c:formatCode="m&quot;月&quot;d&quot;日&quot;">
                  <c:v>95</c:v>
                </c:pt>
                <c:pt idx="2" c:formatCode="m&quot;月&quot;d&quot;日&quot;">
                  <c:v>96</c:v>
                </c:pt>
              </c:numCache>
            </c:numRef>
          </c:cat>
          <c:val>
            <c:numRef>
              <c:f>Sheet1!$D$218:$D$225</c:f>
              <c:numCache>
                <c:formatCode>General</c:formatCode>
                <c:ptCount val="8"/>
                <c:pt idx="0">
                  <c:v>297.54</c:v>
                </c:pt>
                <c:pt idx="1">
                  <c:v>245.04</c:v>
                </c:pt>
                <c:pt idx="2">
                  <c:v>387.1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86761369"/>
        <c:axId val="119394206"/>
      </c:lineChart>
      <c:dateAx>
        <c:axId val="486761369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2021</a:t>
                </a:r>
                <a:r>
                  <a:rPr lang="zh-CN" altLang="en-US"/>
                  <a:t>清明假期期间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m&quot;月&quot;d&quot;日&quot;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9394206"/>
        <c:crosses val="autoZero"/>
        <c:auto val="1"/>
        <c:lblOffset val="100"/>
        <c:baseTimeUnit val="days"/>
      </c:dateAx>
      <c:valAx>
        <c:axId val="11939420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76136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348</Words>
  <Characters>1989</Characters>
  <Lines>16</Lines>
  <Paragraphs>4</Paragraphs>
  <TotalTime>203</TotalTime>
  <ScaleCrop>false</ScaleCrop>
  <LinksUpToDate>false</LinksUpToDate>
  <CharactersWithSpaces>2333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2018-03-25T11:49:00Z</dcterms:created>
  <dc:creator>278405902@qq.com</dc:creator>
  <cp:lastModifiedBy>高泽铭</cp:lastModifiedBy>
  <dcterms:modified xsi:type="dcterms:W3CDTF">2021-04-08T08:58:29Z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